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223" w:rsidRPr="00141223" w:rsidRDefault="00141223" w:rsidP="00141223">
      <w:pPr>
        <w:jc w:val="center"/>
        <w:rPr>
          <w:rFonts w:ascii="Arial" w:hAnsi="Arial" w:cs="Arial"/>
          <w:b/>
        </w:rPr>
      </w:pPr>
      <w:r w:rsidRPr="00141223">
        <w:rPr>
          <w:rFonts w:ascii="Arial" w:hAnsi="Arial" w:cs="Arial"/>
          <w:b/>
        </w:rPr>
        <w:t>Producción Actual</w:t>
      </w:r>
    </w:p>
    <w:p w:rsidR="00141223" w:rsidRDefault="00141223" w:rsidP="00141223">
      <w:pPr>
        <w:jc w:val="both"/>
        <w:rPr>
          <w:rFonts w:ascii="Arial" w:hAnsi="Arial" w:cs="Arial"/>
        </w:rPr>
      </w:pPr>
    </w:p>
    <w:p w:rsidR="00141223" w:rsidRPr="004F74B6" w:rsidRDefault="00141223" w:rsidP="00141223">
      <w:pPr>
        <w:jc w:val="both"/>
        <w:rPr>
          <w:rFonts w:ascii="Arial" w:hAnsi="Arial" w:cs="Arial"/>
          <w:sz w:val="22"/>
          <w:szCs w:val="22"/>
        </w:rPr>
      </w:pPr>
      <w:r w:rsidRPr="004F74B6">
        <w:rPr>
          <w:rFonts w:ascii="Arial" w:hAnsi="Arial" w:cs="Arial"/>
          <w:sz w:val="22"/>
          <w:szCs w:val="22"/>
        </w:rPr>
        <w:t>Nuestro principal propósito es contribuir al cuidado de la salud pública a través de medidas de prevención y tratamiento de enfermedades mediante el uso de vacunas bacterianas, virales y Faboterápico</w:t>
      </w:r>
      <w:r w:rsidR="004F74B6" w:rsidRPr="004F74B6">
        <w:rPr>
          <w:rFonts w:ascii="Arial" w:hAnsi="Arial" w:cs="Arial"/>
          <w:sz w:val="22"/>
          <w:szCs w:val="22"/>
        </w:rPr>
        <w:t>s</w:t>
      </w:r>
      <w:r w:rsidRPr="004F74B6">
        <w:rPr>
          <w:rFonts w:ascii="Arial" w:hAnsi="Arial" w:cs="Arial"/>
          <w:sz w:val="22"/>
          <w:szCs w:val="22"/>
        </w:rPr>
        <w:t>, por lo que hemos definido como parte de nuestros objetivos estratégicos lograr que Birmex se consolide como una empresa competitiva a nivel nacional e internacional</w:t>
      </w:r>
    </w:p>
    <w:p w:rsidR="00141223" w:rsidRPr="004F74B6" w:rsidRDefault="00141223" w:rsidP="00141223">
      <w:pPr>
        <w:jc w:val="both"/>
        <w:rPr>
          <w:rFonts w:ascii="Arial" w:hAnsi="Arial" w:cs="Arial"/>
          <w:sz w:val="22"/>
          <w:szCs w:val="22"/>
        </w:rPr>
      </w:pPr>
    </w:p>
    <w:p w:rsidR="00141223" w:rsidRPr="004F74B6" w:rsidRDefault="00141223" w:rsidP="00141223">
      <w:pPr>
        <w:jc w:val="both"/>
        <w:rPr>
          <w:rFonts w:ascii="Arial" w:hAnsi="Arial" w:cs="Arial"/>
          <w:sz w:val="22"/>
          <w:szCs w:val="22"/>
        </w:rPr>
      </w:pPr>
      <w:r w:rsidRPr="004F74B6">
        <w:rPr>
          <w:rFonts w:ascii="Arial" w:hAnsi="Arial" w:cs="Arial"/>
          <w:sz w:val="22"/>
          <w:szCs w:val="22"/>
        </w:rPr>
        <w:t>Para lograr este objetivo, nuestra empresa a través de la Dirección General Adjunta de Operaciones elabora y vigila el cumplimiento de los programas de producción de las vacunas y otros biológicos en función de los requerimientos que recibimos de nuestros clientes y socios comerciales.</w:t>
      </w:r>
    </w:p>
    <w:p w:rsidR="00141223" w:rsidRPr="004F74B6" w:rsidRDefault="00141223" w:rsidP="00141223">
      <w:pPr>
        <w:jc w:val="both"/>
        <w:rPr>
          <w:rFonts w:ascii="Arial" w:hAnsi="Arial" w:cs="Arial"/>
          <w:sz w:val="22"/>
          <w:szCs w:val="22"/>
        </w:rPr>
      </w:pPr>
    </w:p>
    <w:p w:rsidR="00141223" w:rsidRPr="00663B65" w:rsidRDefault="00141223" w:rsidP="00141223">
      <w:pPr>
        <w:pStyle w:val="Default"/>
        <w:jc w:val="both"/>
        <w:rPr>
          <w:rFonts w:ascii="Arial" w:hAnsi="Arial" w:cs="Arial"/>
          <w:color w:val="auto"/>
          <w:sz w:val="22"/>
          <w:szCs w:val="22"/>
        </w:rPr>
      </w:pPr>
      <w:r w:rsidRPr="004F74B6">
        <w:rPr>
          <w:rFonts w:ascii="Arial" w:eastAsiaTheme="minorEastAsia" w:hAnsi="Arial" w:cs="Arial"/>
          <w:color w:val="auto"/>
          <w:sz w:val="22"/>
          <w:szCs w:val="22"/>
          <w:lang w:bidi="he-IL"/>
        </w:rPr>
        <w:t>Para asegurar que la producción de biológicos y vacunas cumpla con los criterios de calidad establecidos para</w:t>
      </w:r>
      <w:r w:rsidRPr="00663B65">
        <w:rPr>
          <w:rFonts w:ascii="Arial" w:hAnsi="Arial" w:cs="Arial"/>
          <w:color w:val="auto"/>
          <w:sz w:val="22"/>
          <w:szCs w:val="22"/>
        </w:rPr>
        <w:t xml:space="preserve"> su uso en la población, es necesario observar los criterios contenidos en la Norma Oficial Mexicana NOM-059-SSA1-2015, </w:t>
      </w:r>
      <w:r w:rsidRPr="00663B65">
        <w:rPr>
          <w:rFonts w:ascii="Arial" w:hAnsi="Arial" w:cs="Arial"/>
          <w:i/>
          <w:color w:val="auto"/>
          <w:sz w:val="22"/>
          <w:szCs w:val="22"/>
        </w:rPr>
        <w:t>Buenas prácticas de fabricación de medicamentos</w:t>
      </w:r>
      <w:r w:rsidRPr="00663B65">
        <w:rPr>
          <w:rFonts w:ascii="Arial" w:hAnsi="Arial" w:cs="Arial"/>
          <w:color w:val="auto"/>
          <w:sz w:val="22"/>
          <w:szCs w:val="22"/>
        </w:rPr>
        <w:t xml:space="preserve">, cuyo cumplimiento es evaluado por la Autoridad Regulatoria Nacional (COFEPRIS) resultando en la emisión de </w:t>
      </w:r>
      <w:r w:rsidRPr="00663B65">
        <w:rPr>
          <w:rFonts w:ascii="Arial" w:hAnsi="Arial" w:cs="Arial"/>
          <w:i/>
          <w:color w:val="auto"/>
          <w:sz w:val="22"/>
          <w:szCs w:val="22"/>
        </w:rPr>
        <w:t>Certificados de Buenas Prácticas de Fabricación</w:t>
      </w:r>
      <w:r w:rsidRPr="00663B65">
        <w:rPr>
          <w:rFonts w:ascii="Arial" w:hAnsi="Arial" w:cs="Arial"/>
          <w:color w:val="auto"/>
          <w:sz w:val="22"/>
          <w:szCs w:val="22"/>
        </w:rPr>
        <w:t>, que se otorgan a aquellos establecimientos que se dedican a la fabricación o importación de medicamentos para uso humano.</w:t>
      </w:r>
    </w:p>
    <w:p w:rsidR="00141223" w:rsidRPr="00663B65" w:rsidRDefault="00141223" w:rsidP="00141223">
      <w:pPr>
        <w:pStyle w:val="Default"/>
        <w:jc w:val="both"/>
        <w:rPr>
          <w:rFonts w:ascii="Arial" w:hAnsi="Arial" w:cs="Arial"/>
          <w:color w:val="auto"/>
          <w:sz w:val="22"/>
          <w:szCs w:val="22"/>
        </w:rPr>
      </w:pPr>
    </w:p>
    <w:p w:rsidR="00141223" w:rsidRPr="00663B65" w:rsidRDefault="00141223" w:rsidP="00141223">
      <w:pPr>
        <w:pStyle w:val="Default"/>
        <w:jc w:val="both"/>
        <w:rPr>
          <w:rFonts w:ascii="Arial" w:hAnsi="Arial" w:cs="Arial"/>
          <w:color w:val="auto"/>
          <w:sz w:val="22"/>
          <w:szCs w:val="22"/>
        </w:rPr>
      </w:pPr>
      <w:r w:rsidRPr="00663B65">
        <w:rPr>
          <w:rFonts w:ascii="Arial" w:hAnsi="Arial" w:cs="Arial"/>
          <w:color w:val="auto"/>
          <w:sz w:val="22"/>
          <w:szCs w:val="22"/>
        </w:rPr>
        <w:t xml:space="preserve">Resulta importante señalar que los Institutos Nacionales de Higiene y Virología de BIRMEX </w:t>
      </w:r>
      <w:r w:rsidR="004F74B6">
        <w:rPr>
          <w:rFonts w:ascii="Arial" w:hAnsi="Arial" w:cs="Arial"/>
          <w:color w:val="auto"/>
          <w:sz w:val="22"/>
          <w:szCs w:val="22"/>
        </w:rPr>
        <w:t>operan bajo</w:t>
      </w:r>
      <w:r w:rsidRPr="00663B65">
        <w:rPr>
          <w:rFonts w:ascii="Arial" w:hAnsi="Arial" w:cs="Arial"/>
          <w:color w:val="auto"/>
          <w:sz w:val="22"/>
          <w:szCs w:val="22"/>
        </w:rPr>
        <w:t xml:space="preserve"> el Certificado de Buenas Prácticas de Fabricación emitido por la COFEPRIS, que certifican a nuestros Institutos como aptos para la producción en los términos que establece la NOM-059-SSA1-2015.</w:t>
      </w:r>
    </w:p>
    <w:p w:rsidR="00141223" w:rsidRPr="00663B65" w:rsidRDefault="00141223" w:rsidP="00141223">
      <w:pPr>
        <w:pStyle w:val="Default"/>
        <w:jc w:val="both"/>
        <w:rPr>
          <w:rFonts w:ascii="Arial" w:hAnsi="Arial" w:cs="Arial"/>
          <w:color w:val="auto"/>
          <w:sz w:val="22"/>
          <w:szCs w:val="22"/>
        </w:rPr>
      </w:pPr>
    </w:p>
    <w:p w:rsidR="00141223" w:rsidRPr="00663B65" w:rsidRDefault="00141223" w:rsidP="00141223">
      <w:pPr>
        <w:pStyle w:val="Default"/>
        <w:jc w:val="both"/>
        <w:rPr>
          <w:rFonts w:ascii="Arial" w:hAnsi="Arial" w:cs="Arial"/>
          <w:color w:val="auto"/>
          <w:sz w:val="22"/>
          <w:szCs w:val="22"/>
        </w:rPr>
      </w:pPr>
      <w:r w:rsidRPr="00663B65">
        <w:rPr>
          <w:rFonts w:ascii="Arial" w:hAnsi="Arial" w:cs="Arial"/>
          <w:color w:val="auto"/>
          <w:sz w:val="22"/>
          <w:szCs w:val="22"/>
        </w:rPr>
        <w:t xml:space="preserve">Con las premisas anteriores BIRMEX garantiza la calidad de sus productos y cumple con el sentido social que originó su creación, realizando acciones encaminadas a fortalecer la producción y asegurar el abastecimiento de </w:t>
      </w:r>
      <w:proofErr w:type="gramStart"/>
      <w:r w:rsidRPr="00663B65">
        <w:rPr>
          <w:rFonts w:ascii="Arial" w:hAnsi="Arial" w:cs="Arial"/>
          <w:color w:val="auto"/>
          <w:sz w:val="22"/>
          <w:szCs w:val="22"/>
        </w:rPr>
        <w:t>vacunas  a</w:t>
      </w:r>
      <w:proofErr w:type="gramEnd"/>
      <w:r w:rsidRPr="00663B65">
        <w:rPr>
          <w:rFonts w:ascii="Arial" w:hAnsi="Arial" w:cs="Arial"/>
          <w:color w:val="auto"/>
          <w:sz w:val="22"/>
          <w:szCs w:val="22"/>
        </w:rPr>
        <w:t xml:space="preserve"> la población mexicana.</w:t>
      </w:r>
    </w:p>
    <w:p w:rsidR="00141223" w:rsidRPr="00663B65" w:rsidRDefault="00141223" w:rsidP="00141223">
      <w:pPr>
        <w:pStyle w:val="Default"/>
        <w:jc w:val="both"/>
        <w:rPr>
          <w:rFonts w:ascii="Arial" w:hAnsi="Arial" w:cs="Arial"/>
          <w:color w:val="auto"/>
          <w:sz w:val="22"/>
          <w:szCs w:val="22"/>
        </w:rPr>
      </w:pPr>
    </w:p>
    <w:p w:rsidR="00141223" w:rsidRPr="00663B65" w:rsidRDefault="00141223" w:rsidP="00141223">
      <w:pPr>
        <w:pStyle w:val="Default"/>
        <w:jc w:val="both"/>
        <w:rPr>
          <w:rFonts w:ascii="Arial" w:hAnsi="Arial" w:cs="Arial"/>
          <w:color w:val="auto"/>
          <w:sz w:val="22"/>
          <w:szCs w:val="22"/>
        </w:rPr>
      </w:pPr>
      <w:r w:rsidRPr="00663B65">
        <w:rPr>
          <w:rFonts w:ascii="Arial" w:hAnsi="Arial" w:cs="Arial"/>
          <w:color w:val="auto"/>
          <w:sz w:val="22"/>
          <w:szCs w:val="22"/>
        </w:rPr>
        <w:t>Actualmente la cartera de productos fabricados por BIRMEX se integra por:</w:t>
      </w:r>
    </w:p>
    <w:p w:rsidR="00141223" w:rsidRDefault="00141223" w:rsidP="00141223">
      <w:pPr>
        <w:pStyle w:val="Default"/>
        <w:jc w:val="both"/>
        <w:rPr>
          <w:rFonts w:ascii="Arial" w:hAnsi="Arial" w:cs="Arial"/>
          <w:color w:val="auto"/>
          <w:sz w:val="22"/>
          <w:szCs w:val="22"/>
        </w:rPr>
      </w:pPr>
    </w:p>
    <w:p w:rsidR="00141223" w:rsidRPr="0063776A" w:rsidRDefault="00141223" w:rsidP="00141223">
      <w:pPr>
        <w:pStyle w:val="Default"/>
        <w:jc w:val="both"/>
        <w:rPr>
          <w:rFonts w:ascii="Arial" w:hAnsi="Arial" w:cs="Arial"/>
          <w:color w:val="auto"/>
          <w:sz w:val="22"/>
          <w:szCs w:val="22"/>
        </w:rPr>
      </w:pPr>
    </w:p>
    <w:p w:rsidR="00141223" w:rsidRPr="00720433" w:rsidRDefault="00141223" w:rsidP="00141223">
      <w:pPr>
        <w:pStyle w:val="Default"/>
        <w:numPr>
          <w:ilvl w:val="0"/>
          <w:numId w:val="4"/>
        </w:numPr>
        <w:jc w:val="both"/>
        <w:rPr>
          <w:rFonts w:ascii="Arial" w:hAnsi="Arial" w:cs="Arial"/>
          <w:color w:val="0070C0"/>
          <w:szCs w:val="22"/>
        </w:rPr>
      </w:pPr>
      <w:r w:rsidRPr="00720433">
        <w:rPr>
          <w:rFonts w:ascii="Arial" w:hAnsi="Arial" w:cs="Arial"/>
          <w:b/>
          <w:color w:val="0070C0"/>
          <w:szCs w:val="22"/>
        </w:rPr>
        <w:t>Vacunas Orales de Polio</w:t>
      </w:r>
      <w:r w:rsidRPr="00720433">
        <w:rPr>
          <w:rStyle w:val="Refdenotaalpie"/>
          <w:rFonts w:ascii="Arial" w:hAnsi="Arial" w:cs="Arial"/>
          <w:color w:val="0070C0"/>
          <w:szCs w:val="22"/>
        </w:rPr>
        <w:footnoteReference w:id="1"/>
      </w:r>
    </w:p>
    <w:p w:rsidR="00141223" w:rsidRPr="0063776A" w:rsidRDefault="00141223" w:rsidP="00141223">
      <w:pPr>
        <w:pStyle w:val="Default"/>
        <w:jc w:val="both"/>
        <w:rPr>
          <w:rFonts w:ascii="Arial" w:hAnsi="Arial" w:cs="Arial"/>
          <w:color w:val="auto"/>
          <w:sz w:val="22"/>
          <w:szCs w:val="22"/>
        </w:rPr>
      </w:pPr>
    </w:p>
    <w:p w:rsidR="00141223" w:rsidRPr="0063776A" w:rsidRDefault="00141223" w:rsidP="00141223">
      <w:pPr>
        <w:pStyle w:val="Default"/>
        <w:rPr>
          <w:rFonts w:ascii="Arial" w:hAnsi="Arial" w:cs="Arial"/>
          <w:i/>
          <w:sz w:val="22"/>
          <w:szCs w:val="22"/>
          <w:u w:val="single"/>
        </w:rPr>
      </w:pPr>
      <w:r w:rsidRPr="0063776A">
        <w:rPr>
          <w:rFonts w:ascii="Arial" w:hAnsi="Arial" w:cs="Arial"/>
          <w:i/>
          <w:sz w:val="22"/>
          <w:szCs w:val="22"/>
          <w:u w:val="single"/>
        </w:rPr>
        <w:t>Vacuna Sabin contra la Poliomielitis</w:t>
      </w:r>
    </w:p>
    <w:p w:rsidR="00141223" w:rsidRPr="00663B65" w:rsidRDefault="00141223" w:rsidP="00141223">
      <w:pPr>
        <w:pStyle w:val="Default"/>
        <w:jc w:val="both"/>
        <w:rPr>
          <w:rFonts w:ascii="Arial" w:hAnsi="Arial" w:cs="Arial"/>
          <w:color w:val="auto"/>
          <w:sz w:val="22"/>
          <w:szCs w:val="22"/>
        </w:rPr>
      </w:pPr>
      <w:r w:rsidRPr="0063776A">
        <w:rPr>
          <w:rFonts w:ascii="Arial" w:hAnsi="Arial" w:cs="Arial"/>
          <w:sz w:val="22"/>
          <w:szCs w:val="22"/>
        </w:rPr>
        <w:t>En la edad de oro</w:t>
      </w:r>
      <w:r>
        <w:rPr>
          <w:rFonts w:ascii="Arial" w:hAnsi="Arial" w:cs="Arial"/>
          <w:sz w:val="22"/>
          <w:szCs w:val="22"/>
        </w:rPr>
        <w:t xml:space="preserve"> </w:t>
      </w:r>
      <w:r w:rsidRPr="00516B16">
        <w:rPr>
          <w:rFonts w:ascii="Arial" w:hAnsi="Arial" w:cs="Arial"/>
          <w:color w:val="auto"/>
          <w:sz w:val="22"/>
          <w:szCs w:val="22"/>
        </w:rPr>
        <w:t xml:space="preserve">del desarrollo de las vacunas que abarcó entre las décadas de los años 30s a los 60s se dispuso de numerosas vacunas, que cambiaron por completo el rumbo de la humanidad. Uno de los ejemplos más notables es la vacuna contra la poliomielitis desarrollada por Albert Sabin, al lograr la atenuación de los </w:t>
      </w:r>
      <w:proofErr w:type="spellStart"/>
      <w:r w:rsidRPr="00516B16">
        <w:rPr>
          <w:rFonts w:ascii="Arial" w:hAnsi="Arial" w:cs="Arial"/>
          <w:color w:val="auto"/>
          <w:sz w:val="22"/>
          <w:szCs w:val="22"/>
        </w:rPr>
        <w:t>poliovirus</w:t>
      </w:r>
      <w:proofErr w:type="spellEnd"/>
      <w:r w:rsidRPr="00516B16">
        <w:rPr>
          <w:rFonts w:ascii="Arial" w:hAnsi="Arial" w:cs="Arial"/>
          <w:color w:val="auto"/>
          <w:sz w:val="22"/>
          <w:szCs w:val="22"/>
        </w:rPr>
        <w:t xml:space="preserve"> silvestres, y el escalamiento de su producción a nivel industrial. La vacuna Sabin obtuvo licencia para su uso por vez primera en los Estados Unidos de Norteamérica en 1963, luego de una gran cantidad de estudios sobre su seguridad y eficacia. </w:t>
      </w:r>
      <w:r w:rsidRPr="0063776A">
        <w:rPr>
          <w:rFonts w:ascii="Arial" w:hAnsi="Arial" w:cs="Arial"/>
          <w:sz w:val="22"/>
          <w:szCs w:val="22"/>
        </w:rPr>
        <w:t xml:space="preserve">A partir de ese momento, comenzó a </w:t>
      </w:r>
      <w:r w:rsidRPr="00663B65">
        <w:rPr>
          <w:rFonts w:ascii="Arial" w:hAnsi="Arial" w:cs="Arial"/>
          <w:color w:val="auto"/>
          <w:sz w:val="22"/>
          <w:szCs w:val="22"/>
        </w:rPr>
        <w:t>utilizarse en ese y otros países de forma masiva, y gracias a ello se logró prevenir esa importante enfermedad.</w:t>
      </w:r>
    </w:p>
    <w:p w:rsidR="00141223" w:rsidRPr="00663B65" w:rsidRDefault="00141223" w:rsidP="00141223">
      <w:pPr>
        <w:pStyle w:val="Default"/>
        <w:jc w:val="both"/>
        <w:rPr>
          <w:rFonts w:ascii="Arial" w:hAnsi="Arial" w:cs="Arial"/>
          <w:color w:val="auto"/>
          <w:sz w:val="22"/>
          <w:szCs w:val="22"/>
        </w:rPr>
      </w:pPr>
    </w:p>
    <w:p w:rsidR="00141223" w:rsidRPr="0063776A" w:rsidRDefault="00141223" w:rsidP="00141223">
      <w:pPr>
        <w:pStyle w:val="Default"/>
        <w:jc w:val="both"/>
        <w:rPr>
          <w:rFonts w:ascii="Arial" w:hAnsi="Arial" w:cs="Arial"/>
          <w:sz w:val="22"/>
          <w:szCs w:val="22"/>
        </w:rPr>
      </w:pPr>
      <w:r w:rsidRPr="00663B65">
        <w:rPr>
          <w:rFonts w:ascii="Arial" w:hAnsi="Arial" w:cs="Arial"/>
          <w:color w:val="auto"/>
          <w:sz w:val="22"/>
          <w:szCs w:val="22"/>
        </w:rPr>
        <w:t xml:space="preserve">La vacuna original desarrollada por el Dr. Albert Sabin, también llamada vacuna oral contra polio (OPV) contenía los tres tipos de </w:t>
      </w:r>
      <w:proofErr w:type="spellStart"/>
      <w:r w:rsidRPr="00663B65">
        <w:rPr>
          <w:rFonts w:ascii="Arial" w:hAnsi="Arial" w:cs="Arial"/>
          <w:color w:val="auto"/>
          <w:sz w:val="22"/>
          <w:szCs w:val="22"/>
        </w:rPr>
        <w:t>poliovirus</w:t>
      </w:r>
      <w:proofErr w:type="spellEnd"/>
      <w:r w:rsidRPr="00663B65">
        <w:rPr>
          <w:rFonts w:ascii="Arial" w:hAnsi="Arial" w:cs="Arial"/>
          <w:color w:val="auto"/>
          <w:sz w:val="22"/>
          <w:szCs w:val="22"/>
        </w:rPr>
        <w:t xml:space="preserve"> atenuados [vacuna trivalente oral </w:t>
      </w:r>
      <w:proofErr w:type="gramStart"/>
      <w:r w:rsidRPr="00663B65">
        <w:rPr>
          <w:rFonts w:ascii="Arial" w:hAnsi="Arial" w:cs="Arial"/>
          <w:color w:val="auto"/>
          <w:sz w:val="22"/>
          <w:szCs w:val="22"/>
        </w:rPr>
        <w:t xml:space="preserve">( </w:t>
      </w:r>
      <w:proofErr w:type="spellStart"/>
      <w:r w:rsidRPr="00663B65">
        <w:rPr>
          <w:rFonts w:ascii="Arial" w:hAnsi="Arial" w:cs="Arial"/>
          <w:color w:val="auto"/>
          <w:sz w:val="22"/>
          <w:szCs w:val="22"/>
        </w:rPr>
        <w:t>tOPV</w:t>
      </w:r>
      <w:proofErr w:type="spellEnd"/>
      <w:proofErr w:type="gramEnd"/>
      <w:r w:rsidRPr="00663B65">
        <w:rPr>
          <w:rFonts w:ascii="Arial" w:hAnsi="Arial" w:cs="Arial"/>
          <w:color w:val="auto"/>
          <w:sz w:val="22"/>
          <w:szCs w:val="22"/>
        </w:rPr>
        <w:t xml:space="preserve">)] es decir, que no causan enfermedad pero sí estimulan la respuesta inmune. Sin embargo, </w:t>
      </w:r>
      <w:r w:rsidRPr="00663B65">
        <w:rPr>
          <w:rFonts w:ascii="Arial" w:hAnsi="Arial" w:cs="Arial"/>
          <w:color w:val="auto"/>
          <w:sz w:val="22"/>
          <w:szCs w:val="22"/>
        </w:rPr>
        <w:lastRenderedPageBreak/>
        <w:t>gracias al éxito de la vacunación se logró eliminar la circulación del virus silvestre serotipo 2 en el mundo por lo que la Organización Mundial de la Salud recomendó a todos los productores de la vacuna OPV eliminarán de su formulación dicho serotipo en la vacuna, por lo que BIRMEX introdujo en 2016 una vacuna bivalente (</w:t>
      </w:r>
      <w:proofErr w:type="spellStart"/>
      <w:r w:rsidRPr="00663B65">
        <w:rPr>
          <w:rFonts w:ascii="Arial" w:hAnsi="Arial" w:cs="Arial"/>
          <w:color w:val="auto"/>
          <w:sz w:val="22"/>
          <w:szCs w:val="22"/>
        </w:rPr>
        <w:t>bOPV</w:t>
      </w:r>
      <w:proofErr w:type="spellEnd"/>
      <w:r w:rsidRPr="00663B65">
        <w:rPr>
          <w:rFonts w:ascii="Arial" w:hAnsi="Arial" w:cs="Arial"/>
          <w:color w:val="auto"/>
          <w:sz w:val="22"/>
          <w:szCs w:val="22"/>
        </w:rPr>
        <w:t xml:space="preserve">), la cual contiene solamente los serotipos de </w:t>
      </w:r>
      <w:proofErr w:type="spellStart"/>
      <w:r w:rsidRPr="00663B65">
        <w:rPr>
          <w:rFonts w:ascii="Arial" w:hAnsi="Arial" w:cs="Arial"/>
          <w:color w:val="auto"/>
          <w:sz w:val="22"/>
          <w:szCs w:val="22"/>
        </w:rPr>
        <w:t>poliovirus</w:t>
      </w:r>
      <w:proofErr w:type="spellEnd"/>
      <w:r w:rsidRPr="00663B65">
        <w:rPr>
          <w:rFonts w:ascii="Arial" w:hAnsi="Arial" w:cs="Arial"/>
          <w:color w:val="auto"/>
          <w:sz w:val="22"/>
          <w:szCs w:val="22"/>
        </w:rPr>
        <w:t xml:space="preserve"> atenuados 1 y 3. Es una de las más importantes </w:t>
      </w:r>
      <w:r w:rsidRPr="0063776A">
        <w:rPr>
          <w:rFonts w:ascii="Arial" w:hAnsi="Arial" w:cs="Arial"/>
          <w:sz w:val="22"/>
          <w:szCs w:val="22"/>
        </w:rPr>
        <w:t>que existen dentro de nuestro sistema de salud, y dentro del Programa Nacional de Vacunación.</w:t>
      </w:r>
    </w:p>
    <w:p w:rsidR="00141223" w:rsidRPr="0063776A" w:rsidRDefault="00141223" w:rsidP="00141223">
      <w:pPr>
        <w:pStyle w:val="Default"/>
        <w:jc w:val="both"/>
        <w:rPr>
          <w:rFonts w:ascii="Arial" w:hAnsi="Arial" w:cs="Arial"/>
          <w:sz w:val="22"/>
          <w:szCs w:val="22"/>
        </w:rPr>
      </w:pPr>
    </w:p>
    <w:p w:rsidR="00141223" w:rsidRPr="0063776A" w:rsidRDefault="00141223" w:rsidP="00141223">
      <w:pPr>
        <w:pStyle w:val="Default"/>
        <w:jc w:val="both"/>
        <w:rPr>
          <w:rFonts w:ascii="Arial" w:hAnsi="Arial" w:cs="Arial"/>
          <w:sz w:val="22"/>
          <w:szCs w:val="22"/>
        </w:rPr>
      </w:pPr>
      <w:r w:rsidRPr="0063776A">
        <w:rPr>
          <w:rFonts w:ascii="Arial" w:hAnsi="Arial" w:cs="Arial"/>
          <w:noProof/>
          <w:sz w:val="22"/>
          <w:szCs w:val="22"/>
          <w:lang w:val="es-419" w:eastAsia="es-419"/>
        </w:rPr>
        <w:drawing>
          <wp:anchor distT="0" distB="0" distL="114300" distR="114300" simplePos="0" relativeHeight="251659264" behindDoc="0" locked="0" layoutInCell="1" allowOverlap="1" wp14:anchorId="1B92970B" wp14:editId="61B95271">
            <wp:simplePos x="0" y="0"/>
            <wp:positionH relativeFrom="column">
              <wp:posOffset>-1905</wp:posOffset>
            </wp:positionH>
            <wp:positionV relativeFrom="paragraph">
              <wp:posOffset>635</wp:posOffset>
            </wp:positionV>
            <wp:extent cx="1798955" cy="1250315"/>
            <wp:effectExtent l="0" t="0" r="0" b="6985"/>
            <wp:wrapSquare wrapText="bothSides"/>
            <wp:docPr id="15" name="Imagen 15" descr="C:\Users\rmontañoc\Documents\Instituto Nacional de Virología\Producción\Fotos PF\ACONDICIONAMIENTO\IMG1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ontañoc\Documents\Instituto Nacional de Virología\Producción\Fotos PF\ACONDICIONAMIENTO\IMG10885.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8041" t="16071" r="18699" b="16072"/>
                    <a:stretch/>
                  </pic:blipFill>
                  <pic:spPr bwMode="auto">
                    <a:xfrm>
                      <a:off x="0" y="0"/>
                      <a:ext cx="1798955" cy="1250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776A">
        <w:rPr>
          <w:rFonts w:ascii="Arial" w:hAnsi="Arial" w:cs="Arial"/>
          <w:sz w:val="22"/>
          <w:szCs w:val="22"/>
        </w:rPr>
        <w:t>Es una vacuna de administración oral, y no necesariamente tiene que ser administrada por personal de salud altamente entrenado, sino por cualquier persona que reciba capacitación para esa actividad. No requiere la utilización de jeringas, es económica, induce la producción de anticuerpos tanto en el intestino como en la sangre. Es</w:t>
      </w:r>
      <w:r>
        <w:rPr>
          <w:rFonts w:ascii="Arial" w:hAnsi="Arial" w:cs="Arial"/>
          <w:sz w:val="22"/>
          <w:szCs w:val="22"/>
        </w:rPr>
        <w:t xml:space="preserve"> </w:t>
      </w:r>
      <w:r w:rsidRPr="00DE0B9A">
        <w:rPr>
          <w:rFonts w:ascii="Arial" w:hAnsi="Arial" w:cs="Arial"/>
          <w:color w:val="FF0000"/>
          <w:sz w:val="22"/>
          <w:szCs w:val="22"/>
        </w:rPr>
        <w:t>aún</w:t>
      </w:r>
      <w:r w:rsidRPr="0063776A">
        <w:rPr>
          <w:rFonts w:ascii="Arial" w:hAnsi="Arial" w:cs="Arial"/>
          <w:sz w:val="22"/>
          <w:szCs w:val="22"/>
        </w:rPr>
        <w:t xml:space="preserve"> una de las dos vacunas más utilizadas en el mundo (junto con la vacuna BCG contra la tuberculosis).</w:t>
      </w:r>
    </w:p>
    <w:p w:rsidR="00141223" w:rsidRPr="0063776A" w:rsidRDefault="00141223" w:rsidP="00141223">
      <w:pPr>
        <w:pStyle w:val="Default"/>
        <w:jc w:val="both"/>
        <w:rPr>
          <w:rFonts w:ascii="Arial" w:hAnsi="Arial" w:cs="Arial"/>
          <w:sz w:val="22"/>
          <w:szCs w:val="22"/>
        </w:rPr>
      </w:pPr>
    </w:p>
    <w:p w:rsidR="00141223" w:rsidRPr="0063776A" w:rsidRDefault="00141223" w:rsidP="00141223">
      <w:pPr>
        <w:pStyle w:val="Default"/>
        <w:jc w:val="both"/>
        <w:rPr>
          <w:rFonts w:ascii="Arial" w:hAnsi="Arial" w:cs="Arial"/>
          <w:i/>
          <w:sz w:val="22"/>
          <w:szCs w:val="22"/>
          <w:u w:val="single"/>
        </w:rPr>
      </w:pPr>
      <w:r w:rsidRPr="0063776A">
        <w:rPr>
          <w:rFonts w:ascii="Arial" w:hAnsi="Arial" w:cs="Arial"/>
          <w:i/>
          <w:sz w:val="22"/>
          <w:szCs w:val="22"/>
          <w:u w:val="single"/>
        </w:rPr>
        <w:t>Vacuna Sabin en México</w:t>
      </w:r>
    </w:p>
    <w:p w:rsidR="00141223" w:rsidRPr="00E45C52" w:rsidRDefault="00141223" w:rsidP="00141223">
      <w:pPr>
        <w:pStyle w:val="Default"/>
        <w:jc w:val="both"/>
        <w:rPr>
          <w:rFonts w:ascii="Arial" w:hAnsi="Arial" w:cs="Arial"/>
          <w:color w:val="auto"/>
          <w:sz w:val="22"/>
          <w:szCs w:val="22"/>
        </w:rPr>
      </w:pPr>
      <w:r w:rsidRPr="0063776A">
        <w:rPr>
          <w:rFonts w:ascii="Arial" w:hAnsi="Arial" w:cs="Arial"/>
          <w:sz w:val="22"/>
          <w:szCs w:val="22"/>
        </w:rPr>
        <w:t xml:space="preserve">Una vez que fue estandarizada la producción de la vacuna OPV, el doctor Sabin decidió donar a toda la humanidad, a través de la Organización Mundial de la Salud, los virus que él había logrado atenuar para la producción de la vacuna, y él mismo se dio a la tarea de ir a varios países para </w:t>
      </w:r>
      <w:r w:rsidRPr="00E45C52">
        <w:rPr>
          <w:rFonts w:ascii="Arial" w:hAnsi="Arial" w:cs="Arial"/>
          <w:color w:val="auto"/>
          <w:sz w:val="22"/>
          <w:szCs w:val="22"/>
        </w:rPr>
        <w:t>ayudar a que los productores locales de vacunas pudieran implementar la producción de la vacuna OPV de acuerdo a sus metodologías. Tal fue el caso de BIRMEX, que a finales de la década de 1960 y los primeros años de la década de 1970 recibió las semillas virales y las técnicas para la producción de la vacuna OPV, la cual comenzó a producirse de forma industrial en 1973 en el Instituto Nacional de Virología.</w:t>
      </w:r>
    </w:p>
    <w:p w:rsidR="00141223" w:rsidRPr="00E45C52" w:rsidRDefault="00141223" w:rsidP="00141223">
      <w:pPr>
        <w:pStyle w:val="Default"/>
        <w:jc w:val="both"/>
        <w:rPr>
          <w:rFonts w:ascii="Arial" w:hAnsi="Arial" w:cs="Arial"/>
          <w:color w:val="auto"/>
          <w:sz w:val="22"/>
          <w:szCs w:val="22"/>
        </w:rPr>
      </w:pPr>
    </w:p>
    <w:p w:rsidR="00141223" w:rsidRPr="0063776A" w:rsidRDefault="00141223" w:rsidP="00141223">
      <w:pPr>
        <w:pStyle w:val="Default"/>
        <w:jc w:val="both"/>
        <w:rPr>
          <w:rFonts w:ascii="Arial" w:hAnsi="Arial" w:cs="Arial"/>
          <w:sz w:val="22"/>
          <w:szCs w:val="22"/>
        </w:rPr>
      </w:pPr>
      <w:r w:rsidRPr="00E45C52">
        <w:rPr>
          <w:rFonts w:ascii="Arial" w:hAnsi="Arial" w:cs="Arial"/>
          <w:color w:val="auto"/>
          <w:sz w:val="22"/>
          <w:szCs w:val="22"/>
        </w:rPr>
        <w:t xml:space="preserve">Desde entonces, BIRMEX, y las instituciones que le precedieron, ha sido la empresa encargada de la producción de la vacuna </w:t>
      </w:r>
      <w:r w:rsidRPr="0063776A">
        <w:rPr>
          <w:rFonts w:ascii="Arial" w:hAnsi="Arial" w:cs="Arial"/>
          <w:sz w:val="22"/>
          <w:szCs w:val="22"/>
        </w:rPr>
        <w:t>OPV en México, gracias a lo cual se logró eliminar la polio de nuestro p</w:t>
      </w:r>
      <w:r>
        <w:rPr>
          <w:rFonts w:ascii="Arial" w:hAnsi="Arial" w:cs="Arial"/>
          <w:sz w:val="22"/>
          <w:szCs w:val="22"/>
        </w:rPr>
        <w:t xml:space="preserve">aís en 1990; </w:t>
      </w:r>
      <w:r w:rsidRPr="0063776A">
        <w:rPr>
          <w:rFonts w:ascii="Arial" w:hAnsi="Arial" w:cs="Arial"/>
          <w:sz w:val="22"/>
          <w:szCs w:val="22"/>
        </w:rPr>
        <w:t xml:space="preserve">BIRMEX </w:t>
      </w:r>
      <w:r>
        <w:rPr>
          <w:rFonts w:ascii="Arial" w:hAnsi="Arial" w:cs="Arial"/>
          <w:sz w:val="22"/>
          <w:szCs w:val="22"/>
        </w:rPr>
        <w:t>d</w:t>
      </w:r>
      <w:r w:rsidRPr="0063776A">
        <w:rPr>
          <w:rFonts w:ascii="Arial" w:hAnsi="Arial" w:cs="Arial"/>
          <w:sz w:val="22"/>
          <w:szCs w:val="22"/>
        </w:rPr>
        <w:t xml:space="preserve">esde hace 40 </w:t>
      </w:r>
      <w:r w:rsidRPr="00516B16">
        <w:rPr>
          <w:rFonts w:ascii="Arial" w:hAnsi="Arial" w:cs="Arial"/>
          <w:color w:val="auto"/>
          <w:sz w:val="22"/>
          <w:szCs w:val="22"/>
        </w:rPr>
        <w:t xml:space="preserve">años en su planta del Instituto Nacional de Virología en cumplimiento de la normatividad vigente que aplica a las plantas productoras de vacunas, ha producido más de mil millones de dosis </w:t>
      </w:r>
      <w:r w:rsidRPr="0063776A">
        <w:rPr>
          <w:rFonts w:ascii="Arial" w:hAnsi="Arial" w:cs="Arial"/>
          <w:sz w:val="22"/>
          <w:szCs w:val="22"/>
        </w:rPr>
        <w:t>de la vacuna trivalente (</w:t>
      </w:r>
      <w:proofErr w:type="spellStart"/>
      <w:r w:rsidRPr="0063776A">
        <w:rPr>
          <w:rFonts w:ascii="Arial" w:hAnsi="Arial" w:cs="Arial"/>
          <w:sz w:val="22"/>
          <w:szCs w:val="22"/>
        </w:rPr>
        <w:t>tOPV</w:t>
      </w:r>
      <w:proofErr w:type="spellEnd"/>
      <w:r w:rsidRPr="0063776A">
        <w:rPr>
          <w:rFonts w:ascii="Arial" w:hAnsi="Arial" w:cs="Arial"/>
          <w:sz w:val="22"/>
          <w:szCs w:val="22"/>
        </w:rPr>
        <w:t xml:space="preserve">), que se ha utilizado en México de forma segura y efectiva. </w:t>
      </w:r>
    </w:p>
    <w:p w:rsidR="00141223" w:rsidRPr="0063776A" w:rsidRDefault="00141223" w:rsidP="00141223">
      <w:pPr>
        <w:pStyle w:val="Default"/>
        <w:jc w:val="both"/>
        <w:rPr>
          <w:rFonts w:ascii="Arial" w:hAnsi="Arial" w:cs="Arial"/>
          <w:sz w:val="22"/>
          <w:szCs w:val="22"/>
        </w:rPr>
      </w:pPr>
    </w:p>
    <w:p w:rsidR="00141223" w:rsidRPr="0063776A" w:rsidRDefault="00141223" w:rsidP="00141223">
      <w:pPr>
        <w:pStyle w:val="Default"/>
        <w:rPr>
          <w:rFonts w:ascii="Arial" w:hAnsi="Arial" w:cs="Arial"/>
          <w:i/>
          <w:sz w:val="22"/>
          <w:szCs w:val="22"/>
          <w:u w:val="single"/>
        </w:rPr>
      </w:pPr>
      <w:r w:rsidRPr="0063776A">
        <w:rPr>
          <w:rFonts w:ascii="Arial" w:hAnsi="Arial" w:cs="Arial"/>
          <w:noProof/>
          <w:sz w:val="22"/>
          <w:szCs w:val="22"/>
          <w:lang w:val="es-419" w:eastAsia="es-419"/>
        </w:rPr>
        <w:drawing>
          <wp:anchor distT="0" distB="0" distL="114300" distR="114300" simplePos="0" relativeHeight="251660288" behindDoc="0" locked="0" layoutInCell="1" allowOverlap="1" wp14:anchorId="1D9CA3E7" wp14:editId="1D488925">
            <wp:simplePos x="0" y="0"/>
            <wp:positionH relativeFrom="column">
              <wp:posOffset>3727450</wp:posOffset>
            </wp:positionH>
            <wp:positionV relativeFrom="paragraph">
              <wp:posOffset>53340</wp:posOffset>
            </wp:positionV>
            <wp:extent cx="1885950" cy="1414780"/>
            <wp:effectExtent l="0" t="0" r="0" b="0"/>
            <wp:wrapSquare wrapText="bothSides"/>
            <wp:docPr id="16" name="Imagen 16" descr="http://acentoveintiuno.com/IMG/jpg/po-6.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centoveintiuno.com/IMG/jpg/po-6.jpg">
                      <a:hlinkClick r:id="rId10"/>
                    </pic:cNvPr>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85950" cy="1414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76A">
        <w:rPr>
          <w:rFonts w:ascii="Arial" w:hAnsi="Arial" w:cs="Arial"/>
          <w:i/>
          <w:sz w:val="22"/>
          <w:szCs w:val="22"/>
          <w:u w:val="single"/>
        </w:rPr>
        <w:t>Programa de erradicación de la poliomielitis</w:t>
      </w:r>
    </w:p>
    <w:p w:rsidR="00141223" w:rsidRDefault="00141223" w:rsidP="00141223">
      <w:pPr>
        <w:pStyle w:val="Default"/>
        <w:jc w:val="both"/>
        <w:rPr>
          <w:rFonts w:ascii="Arial" w:hAnsi="Arial" w:cs="Arial"/>
          <w:sz w:val="22"/>
          <w:szCs w:val="22"/>
        </w:rPr>
      </w:pPr>
      <w:r w:rsidRPr="0063776A">
        <w:rPr>
          <w:rFonts w:ascii="Arial" w:hAnsi="Arial" w:cs="Arial"/>
          <w:sz w:val="22"/>
          <w:szCs w:val="22"/>
        </w:rPr>
        <w:t>En 1988, cuando la poliomielitis afectaba diariamente a casi un millar de niños en el mundo, ocasionando anualmente un número importante de pacientes con parálisis permanentes, la Organización Mundial de la Salud y todos los países que la integran adquirieron el compromiso de erradicar la poliomielitis por medio de un plan que se basaba en cuatro estrategias:</w:t>
      </w:r>
    </w:p>
    <w:p w:rsidR="0000757C" w:rsidRDefault="00141223" w:rsidP="0017574D">
      <w:pPr>
        <w:pStyle w:val="Default"/>
        <w:numPr>
          <w:ilvl w:val="0"/>
          <w:numId w:val="3"/>
        </w:numPr>
        <w:jc w:val="both"/>
      </w:pPr>
      <w:r w:rsidRPr="008959B2">
        <w:rPr>
          <w:rFonts w:ascii="Arial" w:hAnsi="Arial" w:cs="Arial"/>
          <w:sz w:val="22"/>
          <w:szCs w:val="22"/>
        </w:rPr>
        <w:t xml:space="preserve">Alta cobertura en la inmunización infantil, la cual consistía de cuatro dosis de vacuna </w:t>
      </w:r>
      <w:proofErr w:type="spellStart"/>
      <w:r w:rsidRPr="008959B2">
        <w:rPr>
          <w:rFonts w:ascii="Arial" w:hAnsi="Arial" w:cs="Arial"/>
          <w:sz w:val="22"/>
          <w:szCs w:val="22"/>
        </w:rPr>
        <w:t>antipoliomielítica</w:t>
      </w:r>
      <w:proofErr w:type="spellEnd"/>
      <w:r w:rsidRPr="008959B2">
        <w:rPr>
          <w:rFonts w:ascii="Arial" w:hAnsi="Arial" w:cs="Arial"/>
          <w:sz w:val="22"/>
          <w:szCs w:val="22"/>
        </w:rPr>
        <w:t xml:space="preserve"> oral (OPV) durante el primer año de vida,</w:t>
      </w:r>
    </w:p>
    <w:p w:rsidR="00141223" w:rsidRPr="0063776A" w:rsidRDefault="00141223" w:rsidP="00141223">
      <w:pPr>
        <w:pStyle w:val="Default"/>
        <w:numPr>
          <w:ilvl w:val="0"/>
          <w:numId w:val="3"/>
        </w:numPr>
        <w:jc w:val="both"/>
        <w:rPr>
          <w:rFonts w:ascii="Arial" w:hAnsi="Arial" w:cs="Arial"/>
          <w:sz w:val="22"/>
          <w:szCs w:val="22"/>
        </w:rPr>
      </w:pPr>
      <w:r w:rsidRPr="0063776A">
        <w:rPr>
          <w:rFonts w:ascii="Arial" w:hAnsi="Arial" w:cs="Arial"/>
          <w:sz w:val="22"/>
          <w:szCs w:val="22"/>
        </w:rPr>
        <w:t xml:space="preserve">Dosis adicionales de vacuna OPV para todos los niños menores de cinco años, durante los días nacionales de vacunación; </w:t>
      </w:r>
    </w:p>
    <w:p w:rsidR="00141223" w:rsidRPr="0063776A" w:rsidRDefault="00141223" w:rsidP="00141223">
      <w:pPr>
        <w:pStyle w:val="Default"/>
        <w:numPr>
          <w:ilvl w:val="0"/>
          <w:numId w:val="3"/>
        </w:numPr>
        <w:jc w:val="both"/>
        <w:rPr>
          <w:rFonts w:ascii="Arial" w:hAnsi="Arial" w:cs="Arial"/>
          <w:sz w:val="22"/>
          <w:szCs w:val="22"/>
        </w:rPr>
      </w:pPr>
      <w:r w:rsidRPr="0063776A">
        <w:rPr>
          <w:rFonts w:ascii="Arial" w:hAnsi="Arial" w:cs="Arial"/>
          <w:sz w:val="22"/>
          <w:szCs w:val="22"/>
        </w:rPr>
        <w:t xml:space="preserve">Vigilancia epidemiológica de los casos de parálisis flácida por </w:t>
      </w:r>
      <w:proofErr w:type="spellStart"/>
      <w:r w:rsidRPr="0063776A">
        <w:rPr>
          <w:rFonts w:ascii="Arial" w:hAnsi="Arial" w:cs="Arial"/>
          <w:sz w:val="22"/>
          <w:szCs w:val="22"/>
        </w:rPr>
        <w:t>poliovirus</w:t>
      </w:r>
      <w:proofErr w:type="spellEnd"/>
      <w:r w:rsidRPr="0063776A">
        <w:rPr>
          <w:rFonts w:ascii="Arial" w:hAnsi="Arial" w:cs="Arial"/>
          <w:sz w:val="22"/>
          <w:szCs w:val="22"/>
        </w:rPr>
        <w:t xml:space="preserve"> silvestre (comprobado por análisis de laboratorio), en niños menores de 15 años; </w:t>
      </w:r>
    </w:p>
    <w:p w:rsidR="00141223" w:rsidRPr="0063776A" w:rsidRDefault="00141223" w:rsidP="00141223">
      <w:pPr>
        <w:pStyle w:val="Default"/>
        <w:numPr>
          <w:ilvl w:val="0"/>
          <w:numId w:val="3"/>
        </w:numPr>
        <w:jc w:val="both"/>
        <w:rPr>
          <w:rFonts w:ascii="Arial" w:hAnsi="Arial" w:cs="Arial"/>
          <w:sz w:val="22"/>
          <w:szCs w:val="22"/>
        </w:rPr>
      </w:pPr>
      <w:r w:rsidRPr="0063776A">
        <w:rPr>
          <w:rFonts w:ascii="Arial" w:hAnsi="Arial" w:cs="Arial"/>
          <w:sz w:val="22"/>
          <w:szCs w:val="22"/>
        </w:rPr>
        <w:t xml:space="preserve">Campañas de vacunación específica, una vez que la transmisión de </w:t>
      </w:r>
      <w:proofErr w:type="spellStart"/>
      <w:r w:rsidRPr="0063776A">
        <w:rPr>
          <w:rFonts w:ascii="Arial" w:hAnsi="Arial" w:cs="Arial"/>
          <w:sz w:val="22"/>
          <w:szCs w:val="22"/>
        </w:rPr>
        <w:t>poliovirus</w:t>
      </w:r>
      <w:proofErr w:type="spellEnd"/>
      <w:r w:rsidRPr="0063776A">
        <w:rPr>
          <w:rFonts w:ascii="Arial" w:hAnsi="Arial" w:cs="Arial"/>
          <w:sz w:val="22"/>
          <w:szCs w:val="22"/>
        </w:rPr>
        <w:t xml:space="preserve"> silvestre se limite a áreas específicas, y se creó la Iniciativa Global de Erradicación </w:t>
      </w:r>
      <w:r w:rsidRPr="0063776A">
        <w:rPr>
          <w:rFonts w:ascii="Arial" w:hAnsi="Arial" w:cs="Arial"/>
          <w:sz w:val="22"/>
          <w:szCs w:val="22"/>
        </w:rPr>
        <w:lastRenderedPageBreak/>
        <w:t xml:space="preserve">Mundial de la Poliomielitis (Global Polio </w:t>
      </w:r>
      <w:proofErr w:type="spellStart"/>
      <w:r w:rsidRPr="0063776A">
        <w:rPr>
          <w:rFonts w:ascii="Arial" w:hAnsi="Arial" w:cs="Arial"/>
          <w:sz w:val="22"/>
          <w:szCs w:val="22"/>
        </w:rPr>
        <w:t>Eradication</w:t>
      </w:r>
      <w:proofErr w:type="spellEnd"/>
      <w:r w:rsidRPr="0063776A">
        <w:rPr>
          <w:rFonts w:ascii="Arial" w:hAnsi="Arial" w:cs="Arial"/>
          <w:sz w:val="22"/>
          <w:szCs w:val="22"/>
        </w:rPr>
        <w:t xml:space="preserve"> </w:t>
      </w:r>
      <w:proofErr w:type="spellStart"/>
      <w:r w:rsidRPr="0063776A">
        <w:rPr>
          <w:rFonts w:ascii="Arial" w:hAnsi="Arial" w:cs="Arial"/>
          <w:sz w:val="22"/>
          <w:szCs w:val="22"/>
        </w:rPr>
        <w:t>Initiative</w:t>
      </w:r>
      <w:proofErr w:type="spellEnd"/>
      <w:r w:rsidRPr="0063776A">
        <w:rPr>
          <w:rFonts w:ascii="Arial" w:hAnsi="Arial" w:cs="Arial"/>
          <w:sz w:val="22"/>
          <w:szCs w:val="22"/>
        </w:rPr>
        <w:t>, GPEI por sus siglas en inglés).</w:t>
      </w:r>
    </w:p>
    <w:p w:rsidR="00141223" w:rsidRPr="0063776A" w:rsidRDefault="00141223" w:rsidP="00141223">
      <w:pPr>
        <w:pStyle w:val="Default"/>
        <w:jc w:val="both"/>
        <w:rPr>
          <w:rFonts w:ascii="Arial" w:hAnsi="Arial" w:cs="Arial"/>
          <w:sz w:val="22"/>
          <w:szCs w:val="22"/>
        </w:rPr>
      </w:pPr>
    </w:p>
    <w:p w:rsidR="00141223" w:rsidRPr="0063776A" w:rsidRDefault="00141223" w:rsidP="00141223">
      <w:pPr>
        <w:pStyle w:val="Default"/>
        <w:jc w:val="both"/>
        <w:rPr>
          <w:rFonts w:ascii="Arial" w:hAnsi="Arial" w:cs="Arial"/>
          <w:sz w:val="22"/>
          <w:szCs w:val="22"/>
        </w:rPr>
      </w:pPr>
      <w:r w:rsidRPr="0063776A">
        <w:rPr>
          <w:rFonts w:ascii="Arial" w:hAnsi="Arial" w:cs="Arial"/>
          <w:sz w:val="22"/>
          <w:szCs w:val="22"/>
        </w:rPr>
        <w:t>En México el último caso de poliomielitis fue reportado en el año de 1990 y el último caso en América fue reportado en Perú en 1991. La poliomielitis fue erradicada de las Américas luego de intensas campañas de vacunación y de enormes inversiones para fortalecer los sistemas de salud de los países del continente. La ausencia de poliomielitis se certificó en la Región de las Américas (36 países) en 1994, en la Región del Pacífico Occidental (37 países y zonas, incluida China) en 2000, y en la Región de Europa (51 países) en junio de 2002, y en el Sudeste Asiático (14 países, incluido India), en 2014.</w:t>
      </w:r>
    </w:p>
    <w:p w:rsidR="00141223" w:rsidRPr="0063776A" w:rsidRDefault="00141223" w:rsidP="00141223">
      <w:pPr>
        <w:pStyle w:val="Default"/>
        <w:jc w:val="both"/>
        <w:rPr>
          <w:rFonts w:ascii="Arial" w:hAnsi="Arial" w:cs="Arial"/>
          <w:sz w:val="22"/>
          <w:szCs w:val="22"/>
        </w:rPr>
      </w:pPr>
    </w:p>
    <w:p w:rsidR="00141223" w:rsidRPr="00663B65" w:rsidRDefault="00141223" w:rsidP="00141223">
      <w:pPr>
        <w:pStyle w:val="Default"/>
        <w:jc w:val="both"/>
        <w:rPr>
          <w:rFonts w:ascii="Arial" w:hAnsi="Arial" w:cs="Arial"/>
          <w:color w:val="auto"/>
          <w:sz w:val="22"/>
          <w:szCs w:val="22"/>
        </w:rPr>
      </w:pPr>
      <w:r w:rsidRPr="0063776A">
        <w:rPr>
          <w:rFonts w:ascii="Arial" w:hAnsi="Arial" w:cs="Arial"/>
          <w:sz w:val="22"/>
          <w:szCs w:val="22"/>
        </w:rPr>
        <w:t xml:space="preserve">Actualmente el 80% de la población mundial vive en territorios y zonas libres de poliomielitis. Desde 1988, la GPEI ha </w:t>
      </w:r>
      <w:r w:rsidRPr="00663B65">
        <w:rPr>
          <w:rFonts w:ascii="Arial" w:hAnsi="Arial" w:cs="Arial"/>
          <w:color w:val="auto"/>
          <w:sz w:val="22"/>
          <w:szCs w:val="22"/>
        </w:rPr>
        <w:t>conseguido reducir el número de casos de 350,000 por año en más de 125 países a tan solo 22 casos en dos países (en el 2017: 8 casos en Pakistán, y 14 en Afganistán), lo que representa una reducción de los casos anuales superior al 99.99%.</w:t>
      </w:r>
    </w:p>
    <w:p w:rsidR="00141223" w:rsidRPr="0063776A" w:rsidRDefault="00141223" w:rsidP="00141223">
      <w:pPr>
        <w:pStyle w:val="Default"/>
        <w:jc w:val="both"/>
        <w:rPr>
          <w:rFonts w:ascii="Arial" w:hAnsi="Arial" w:cs="Arial"/>
          <w:sz w:val="22"/>
          <w:szCs w:val="22"/>
        </w:rPr>
      </w:pPr>
    </w:p>
    <w:p w:rsidR="00141223" w:rsidRPr="0063776A" w:rsidRDefault="00141223" w:rsidP="00141223">
      <w:pPr>
        <w:pStyle w:val="Default"/>
        <w:jc w:val="both"/>
        <w:rPr>
          <w:rFonts w:ascii="Arial" w:hAnsi="Arial" w:cs="Arial"/>
          <w:sz w:val="22"/>
          <w:szCs w:val="22"/>
        </w:rPr>
      </w:pPr>
      <w:r w:rsidRPr="0063776A">
        <w:rPr>
          <w:rFonts w:ascii="Arial" w:hAnsi="Arial" w:cs="Arial"/>
          <w:sz w:val="22"/>
          <w:szCs w:val="22"/>
        </w:rPr>
        <w:t>Hoy en día nos encontramos en la etapa final de la erradicación de la poliomielitis, para lo cual se debe seguir un plan de acción específico en todo el mundo, que involucra las siguientes actividades:</w:t>
      </w:r>
    </w:p>
    <w:p w:rsidR="00141223" w:rsidRPr="0063776A" w:rsidRDefault="00141223" w:rsidP="00141223">
      <w:pPr>
        <w:pStyle w:val="Default"/>
        <w:jc w:val="both"/>
        <w:rPr>
          <w:rFonts w:ascii="Arial" w:hAnsi="Arial" w:cs="Arial"/>
          <w:sz w:val="22"/>
          <w:szCs w:val="22"/>
        </w:rPr>
      </w:pPr>
    </w:p>
    <w:p w:rsidR="00141223" w:rsidRPr="0063776A" w:rsidRDefault="00141223" w:rsidP="00141223">
      <w:pPr>
        <w:pStyle w:val="Default"/>
        <w:numPr>
          <w:ilvl w:val="0"/>
          <w:numId w:val="5"/>
        </w:numPr>
        <w:jc w:val="both"/>
        <w:rPr>
          <w:rFonts w:ascii="Arial" w:hAnsi="Arial" w:cs="Arial"/>
          <w:sz w:val="22"/>
          <w:szCs w:val="22"/>
        </w:rPr>
      </w:pPr>
      <w:r w:rsidRPr="0063776A">
        <w:rPr>
          <w:rFonts w:ascii="Arial" w:hAnsi="Arial" w:cs="Arial"/>
          <w:sz w:val="22"/>
          <w:szCs w:val="22"/>
        </w:rPr>
        <w:t xml:space="preserve">Detección e interrupción de la circulación de </w:t>
      </w:r>
      <w:proofErr w:type="spellStart"/>
      <w:r w:rsidRPr="0063776A">
        <w:rPr>
          <w:rFonts w:ascii="Arial" w:hAnsi="Arial" w:cs="Arial"/>
          <w:sz w:val="22"/>
          <w:szCs w:val="22"/>
        </w:rPr>
        <w:t>poliovirus</w:t>
      </w:r>
      <w:proofErr w:type="spellEnd"/>
      <w:r w:rsidRPr="0063776A">
        <w:rPr>
          <w:rFonts w:ascii="Arial" w:hAnsi="Arial" w:cs="Arial"/>
          <w:sz w:val="22"/>
          <w:szCs w:val="22"/>
        </w:rPr>
        <w:t xml:space="preserve"> silvestres.</w:t>
      </w:r>
    </w:p>
    <w:p w:rsidR="00141223" w:rsidRPr="0063776A" w:rsidRDefault="00141223" w:rsidP="00141223">
      <w:pPr>
        <w:pStyle w:val="Default"/>
        <w:numPr>
          <w:ilvl w:val="0"/>
          <w:numId w:val="5"/>
        </w:numPr>
        <w:jc w:val="both"/>
        <w:rPr>
          <w:rFonts w:ascii="Arial" w:hAnsi="Arial" w:cs="Arial"/>
          <w:sz w:val="22"/>
          <w:szCs w:val="22"/>
        </w:rPr>
      </w:pPr>
      <w:r w:rsidRPr="0063776A">
        <w:rPr>
          <w:rFonts w:ascii="Arial" w:hAnsi="Arial" w:cs="Arial"/>
          <w:sz w:val="22"/>
          <w:szCs w:val="22"/>
        </w:rPr>
        <w:t xml:space="preserve">Fortalecimiento de la inmunización rutinaria, y retiro de la vacuna </w:t>
      </w:r>
      <w:proofErr w:type="spellStart"/>
      <w:r w:rsidRPr="0063776A">
        <w:rPr>
          <w:rFonts w:ascii="Arial" w:hAnsi="Arial" w:cs="Arial"/>
          <w:sz w:val="22"/>
          <w:szCs w:val="22"/>
        </w:rPr>
        <w:t>antipoliomielítica</w:t>
      </w:r>
      <w:proofErr w:type="spellEnd"/>
      <w:r w:rsidRPr="0063776A">
        <w:rPr>
          <w:rFonts w:ascii="Arial" w:hAnsi="Arial" w:cs="Arial"/>
          <w:sz w:val="22"/>
          <w:szCs w:val="22"/>
        </w:rPr>
        <w:t xml:space="preserve"> oral (OPV) tipo Sabin.</w:t>
      </w:r>
    </w:p>
    <w:p w:rsidR="00141223" w:rsidRPr="0063776A" w:rsidRDefault="00141223" w:rsidP="00141223">
      <w:pPr>
        <w:pStyle w:val="Default"/>
        <w:numPr>
          <w:ilvl w:val="0"/>
          <w:numId w:val="5"/>
        </w:numPr>
        <w:jc w:val="both"/>
        <w:rPr>
          <w:rFonts w:ascii="Arial" w:hAnsi="Arial" w:cs="Arial"/>
          <w:sz w:val="22"/>
          <w:szCs w:val="22"/>
        </w:rPr>
      </w:pPr>
      <w:r w:rsidRPr="0063776A">
        <w:rPr>
          <w:rFonts w:ascii="Arial" w:hAnsi="Arial" w:cs="Arial"/>
          <w:sz w:val="22"/>
          <w:szCs w:val="22"/>
        </w:rPr>
        <w:t>Contención y certificación.</w:t>
      </w:r>
    </w:p>
    <w:p w:rsidR="00141223" w:rsidRPr="0063776A" w:rsidRDefault="00141223" w:rsidP="00141223">
      <w:pPr>
        <w:pStyle w:val="Default"/>
        <w:numPr>
          <w:ilvl w:val="0"/>
          <w:numId w:val="5"/>
        </w:numPr>
        <w:jc w:val="both"/>
        <w:rPr>
          <w:rFonts w:ascii="Arial" w:hAnsi="Arial" w:cs="Arial"/>
          <w:sz w:val="22"/>
          <w:szCs w:val="22"/>
        </w:rPr>
      </w:pPr>
      <w:r w:rsidRPr="0063776A">
        <w:rPr>
          <w:rFonts w:ascii="Arial" w:hAnsi="Arial" w:cs="Arial"/>
          <w:sz w:val="22"/>
          <w:szCs w:val="22"/>
        </w:rPr>
        <w:t>Riesgos, mitigación de riesgos y planes de contingencia.</w:t>
      </w:r>
    </w:p>
    <w:p w:rsidR="00141223" w:rsidRPr="0063776A" w:rsidRDefault="00141223" w:rsidP="00141223">
      <w:pPr>
        <w:pStyle w:val="Default"/>
        <w:jc w:val="both"/>
        <w:rPr>
          <w:rFonts w:ascii="Arial" w:hAnsi="Arial" w:cs="Arial"/>
          <w:sz w:val="22"/>
          <w:szCs w:val="22"/>
        </w:rPr>
      </w:pPr>
    </w:p>
    <w:p w:rsidR="00141223" w:rsidRPr="0063776A" w:rsidRDefault="00141223" w:rsidP="00141223">
      <w:pPr>
        <w:pStyle w:val="Default"/>
        <w:jc w:val="both"/>
        <w:rPr>
          <w:rFonts w:ascii="Arial" w:hAnsi="Arial" w:cs="Arial"/>
          <w:sz w:val="22"/>
          <w:szCs w:val="22"/>
        </w:rPr>
      </w:pPr>
      <w:r w:rsidRPr="0063776A">
        <w:rPr>
          <w:rFonts w:ascii="Arial" w:hAnsi="Arial" w:cs="Arial"/>
          <w:sz w:val="22"/>
          <w:szCs w:val="22"/>
        </w:rPr>
        <w:t>En lo referente a vacunación, el plan describe las acciones que se deberán seguir a mediano y largo plazo, entre las que destacan:</w:t>
      </w:r>
    </w:p>
    <w:p w:rsidR="00141223" w:rsidRPr="0063776A" w:rsidRDefault="00141223" w:rsidP="00141223">
      <w:pPr>
        <w:pStyle w:val="Default"/>
        <w:jc w:val="both"/>
        <w:rPr>
          <w:rFonts w:ascii="Arial" w:hAnsi="Arial" w:cs="Arial"/>
          <w:sz w:val="22"/>
          <w:szCs w:val="22"/>
        </w:rPr>
      </w:pPr>
    </w:p>
    <w:p w:rsidR="00141223" w:rsidRPr="0063776A" w:rsidRDefault="00141223" w:rsidP="00141223">
      <w:pPr>
        <w:pStyle w:val="Default"/>
        <w:numPr>
          <w:ilvl w:val="0"/>
          <w:numId w:val="6"/>
        </w:numPr>
        <w:jc w:val="both"/>
        <w:rPr>
          <w:rFonts w:ascii="Arial" w:hAnsi="Arial" w:cs="Arial"/>
          <w:sz w:val="22"/>
          <w:szCs w:val="22"/>
        </w:rPr>
      </w:pPr>
      <w:r w:rsidRPr="0063776A">
        <w:rPr>
          <w:rFonts w:ascii="Arial" w:hAnsi="Arial" w:cs="Arial"/>
          <w:sz w:val="22"/>
          <w:szCs w:val="22"/>
        </w:rPr>
        <w:t>Garantizar coberturas altas de vacunación rutinaria contra poliomielitis.</w:t>
      </w:r>
    </w:p>
    <w:p w:rsidR="00141223" w:rsidRPr="00663B65" w:rsidRDefault="00141223" w:rsidP="00141223">
      <w:pPr>
        <w:pStyle w:val="Default"/>
        <w:numPr>
          <w:ilvl w:val="0"/>
          <w:numId w:val="6"/>
        </w:numPr>
        <w:jc w:val="both"/>
        <w:rPr>
          <w:rFonts w:ascii="Arial" w:hAnsi="Arial" w:cs="Arial"/>
          <w:color w:val="auto"/>
          <w:sz w:val="22"/>
          <w:szCs w:val="22"/>
        </w:rPr>
      </w:pPr>
      <w:r w:rsidRPr="00663B65">
        <w:rPr>
          <w:rFonts w:ascii="Arial" w:hAnsi="Arial" w:cs="Arial"/>
          <w:color w:val="auto"/>
          <w:sz w:val="22"/>
          <w:szCs w:val="22"/>
        </w:rPr>
        <w:t>Introducir cuando menos una dosis de vacuna contra poliomielitis inactivada (IPV).</w:t>
      </w:r>
    </w:p>
    <w:p w:rsidR="00141223" w:rsidRPr="00663B65" w:rsidRDefault="00141223" w:rsidP="00141223">
      <w:pPr>
        <w:pStyle w:val="Default"/>
        <w:numPr>
          <w:ilvl w:val="0"/>
          <w:numId w:val="6"/>
        </w:numPr>
        <w:jc w:val="both"/>
        <w:rPr>
          <w:rFonts w:ascii="Arial" w:hAnsi="Arial" w:cs="Arial"/>
          <w:color w:val="auto"/>
          <w:sz w:val="22"/>
          <w:szCs w:val="22"/>
        </w:rPr>
      </w:pPr>
      <w:r w:rsidRPr="00663B65">
        <w:rPr>
          <w:rFonts w:ascii="Arial" w:hAnsi="Arial" w:cs="Arial"/>
          <w:color w:val="auto"/>
          <w:sz w:val="22"/>
          <w:szCs w:val="22"/>
        </w:rPr>
        <w:t xml:space="preserve">Reemplazar la vacuna </w:t>
      </w:r>
      <w:proofErr w:type="spellStart"/>
      <w:r w:rsidRPr="00663B65">
        <w:rPr>
          <w:rFonts w:ascii="Arial" w:hAnsi="Arial" w:cs="Arial"/>
          <w:color w:val="auto"/>
          <w:sz w:val="22"/>
          <w:szCs w:val="22"/>
        </w:rPr>
        <w:t>antipoliomielítica</w:t>
      </w:r>
      <w:proofErr w:type="spellEnd"/>
      <w:r w:rsidRPr="00663B65">
        <w:rPr>
          <w:rFonts w:ascii="Arial" w:hAnsi="Arial" w:cs="Arial"/>
          <w:color w:val="auto"/>
          <w:sz w:val="22"/>
          <w:szCs w:val="22"/>
        </w:rPr>
        <w:t xml:space="preserve"> oral trivalente (</w:t>
      </w:r>
      <w:proofErr w:type="spellStart"/>
      <w:r w:rsidRPr="00663B65">
        <w:rPr>
          <w:rFonts w:ascii="Arial" w:hAnsi="Arial" w:cs="Arial"/>
          <w:color w:val="auto"/>
          <w:sz w:val="22"/>
          <w:szCs w:val="22"/>
        </w:rPr>
        <w:t>tOPV</w:t>
      </w:r>
      <w:proofErr w:type="spellEnd"/>
      <w:r w:rsidRPr="00663B65">
        <w:rPr>
          <w:rFonts w:ascii="Arial" w:hAnsi="Arial" w:cs="Arial"/>
          <w:color w:val="auto"/>
          <w:sz w:val="22"/>
          <w:szCs w:val="22"/>
        </w:rPr>
        <w:t xml:space="preserve">) por la vacuna </w:t>
      </w:r>
      <w:proofErr w:type="spellStart"/>
      <w:r w:rsidRPr="00663B65">
        <w:rPr>
          <w:rFonts w:ascii="Arial" w:hAnsi="Arial" w:cs="Arial"/>
          <w:color w:val="auto"/>
          <w:sz w:val="22"/>
          <w:szCs w:val="22"/>
        </w:rPr>
        <w:t>antipoliomielítica</w:t>
      </w:r>
      <w:proofErr w:type="spellEnd"/>
      <w:r w:rsidRPr="00663B65">
        <w:rPr>
          <w:rFonts w:ascii="Arial" w:hAnsi="Arial" w:cs="Arial"/>
          <w:color w:val="auto"/>
          <w:sz w:val="22"/>
          <w:szCs w:val="22"/>
        </w:rPr>
        <w:t xml:space="preserve"> oral bivalente (</w:t>
      </w:r>
      <w:proofErr w:type="spellStart"/>
      <w:r w:rsidRPr="00663B65">
        <w:rPr>
          <w:rFonts w:ascii="Arial" w:hAnsi="Arial" w:cs="Arial"/>
          <w:color w:val="auto"/>
          <w:sz w:val="22"/>
          <w:szCs w:val="22"/>
        </w:rPr>
        <w:t>bOPV</w:t>
      </w:r>
      <w:proofErr w:type="spellEnd"/>
      <w:r w:rsidRPr="00663B65">
        <w:rPr>
          <w:rFonts w:ascii="Arial" w:hAnsi="Arial" w:cs="Arial"/>
          <w:color w:val="auto"/>
          <w:sz w:val="22"/>
          <w:szCs w:val="22"/>
        </w:rPr>
        <w:t xml:space="preserve">) que sólo contenga los </w:t>
      </w:r>
      <w:proofErr w:type="spellStart"/>
      <w:r w:rsidRPr="00663B65">
        <w:rPr>
          <w:rFonts w:ascii="Arial" w:hAnsi="Arial" w:cs="Arial"/>
          <w:color w:val="auto"/>
          <w:sz w:val="22"/>
          <w:szCs w:val="22"/>
        </w:rPr>
        <w:t>poliovirus</w:t>
      </w:r>
      <w:proofErr w:type="spellEnd"/>
      <w:r w:rsidRPr="00663B65">
        <w:rPr>
          <w:rFonts w:ascii="Arial" w:hAnsi="Arial" w:cs="Arial"/>
          <w:color w:val="auto"/>
          <w:sz w:val="22"/>
          <w:szCs w:val="22"/>
        </w:rPr>
        <w:t xml:space="preserve"> Sabin tipos 1 y 3. Situación que México atendió desde el año 2016</w:t>
      </w:r>
    </w:p>
    <w:p w:rsidR="00141223" w:rsidRPr="0063776A" w:rsidRDefault="00141223" w:rsidP="00141223">
      <w:pPr>
        <w:pStyle w:val="Default"/>
        <w:jc w:val="both"/>
        <w:rPr>
          <w:rFonts w:ascii="Arial" w:hAnsi="Arial" w:cs="Arial"/>
          <w:sz w:val="22"/>
          <w:szCs w:val="22"/>
        </w:rPr>
      </w:pPr>
    </w:p>
    <w:p w:rsidR="00141223" w:rsidRPr="00563069" w:rsidRDefault="00141223" w:rsidP="00141223">
      <w:pPr>
        <w:pStyle w:val="Default"/>
        <w:jc w:val="both"/>
        <w:rPr>
          <w:rFonts w:ascii="Arial" w:hAnsi="Arial" w:cs="Arial"/>
          <w:i/>
          <w:sz w:val="22"/>
          <w:szCs w:val="22"/>
          <w:u w:val="single"/>
          <w:lang w:val="es-ES"/>
        </w:rPr>
      </w:pPr>
      <w:r w:rsidRPr="00563069">
        <w:rPr>
          <w:rFonts w:ascii="Arial" w:hAnsi="Arial" w:cs="Arial"/>
          <w:i/>
          <w:sz w:val="22"/>
          <w:szCs w:val="22"/>
          <w:u w:val="single"/>
          <w:lang w:val="es-ES"/>
        </w:rPr>
        <w:t>Producción actual de OPV</w:t>
      </w:r>
    </w:p>
    <w:p w:rsidR="00457CB8" w:rsidRPr="00663B65" w:rsidRDefault="00141223" w:rsidP="00457CB8">
      <w:pPr>
        <w:pStyle w:val="Default"/>
        <w:jc w:val="both"/>
        <w:rPr>
          <w:rFonts w:ascii="Arial" w:hAnsi="Arial" w:cs="Arial"/>
          <w:color w:val="auto"/>
          <w:sz w:val="22"/>
          <w:szCs w:val="22"/>
        </w:rPr>
      </w:pPr>
      <w:r w:rsidRPr="0063776A">
        <w:rPr>
          <w:rFonts w:ascii="Arial" w:hAnsi="Arial" w:cs="Arial"/>
          <w:sz w:val="22"/>
          <w:szCs w:val="22"/>
        </w:rPr>
        <w:t xml:space="preserve">En la </w:t>
      </w:r>
      <w:r w:rsidRPr="00663B65">
        <w:rPr>
          <w:rFonts w:ascii="Arial" w:hAnsi="Arial" w:cs="Arial"/>
          <w:color w:val="auto"/>
          <w:sz w:val="22"/>
          <w:szCs w:val="22"/>
        </w:rPr>
        <w:t xml:space="preserve">actualidad, BIRMEX </w:t>
      </w:r>
      <w:r w:rsidR="008959B2">
        <w:rPr>
          <w:rFonts w:ascii="Arial" w:hAnsi="Arial" w:cs="Arial"/>
          <w:color w:val="auto"/>
          <w:sz w:val="22"/>
          <w:szCs w:val="22"/>
        </w:rPr>
        <w:t>ha detenido</w:t>
      </w:r>
      <w:r w:rsidRPr="00663B65">
        <w:rPr>
          <w:rFonts w:ascii="Arial" w:hAnsi="Arial" w:cs="Arial"/>
          <w:color w:val="auto"/>
          <w:sz w:val="22"/>
          <w:szCs w:val="22"/>
        </w:rPr>
        <w:t xml:space="preserve"> la producción de la vacuna OPV en su planta del Instituto Nacional de Virología, </w:t>
      </w:r>
      <w:r w:rsidR="008959B2">
        <w:rPr>
          <w:rFonts w:ascii="Arial" w:hAnsi="Arial" w:cs="Arial"/>
          <w:color w:val="auto"/>
          <w:sz w:val="22"/>
          <w:szCs w:val="22"/>
        </w:rPr>
        <w:t>derivado de las nuevas políticas de vacunación implementadas en nuestro País</w:t>
      </w:r>
      <w:r w:rsidRPr="00663B65">
        <w:rPr>
          <w:rFonts w:ascii="Arial" w:hAnsi="Arial" w:cs="Arial"/>
          <w:color w:val="auto"/>
          <w:sz w:val="22"/>
          <w:szCs w:val="22"/>
        </w:rPr>
        <w:t xml:space="preserve">. Las operaciones industriales de fabricación se realizan en estricto apego a la Norma Oficial Mexicana (NOM-059-SSA1-2015 </w:t>
      </w:r>
      <w:r w:rsidRPr="00663B65">
        <w:rPr>
          <w:rFonts w:ascii="Arial" w:hAnsi="Arial" w:cs="Arial"/>
          <w:i/>
          <w:color w:val="auto"/>
          <w:sz w:val="22"/>
          <w:szCs w:val="22"/>
        </w:rPr>
        <w:t>buenas prácticas de fabricación de medicamentos</w:t>
      </w:r>
      <w:r w:rsidRPr="00663B65">
        <w:rPr>
          <w:rFonts w:ascii="Arial" w:hAnsi="Arial" w:cs="Arial"/>
          <w:color w:val="auto"/>
          <w:sz w:val="22"/>
          <w:szCs w:val="22"/>
        </w:rPr>
        <w:t xml:space="preserve">) y al cumplimiento total de las especificaciones establecidas en la Farmacopea de los Estados </w:t>
      </w:r>
      <w:r w:rsidR="00457CB8" w:rsidRPr="00663B65">
        <w:rPr>
          <w:rFonts w:ascii="Arial" w:hAnsi="Arial" w:cs="Arial"/>
          <w:color w:val="auto"/>
          <w:sz w:val="22"/>
          <w:szCs w:val="22"/>
        </w:rPr>
        <w:t>Unidos Mexicanos</w:t>
      </w:r>
      <w:r w:rsidR="00457CB8">
        <w:rPr>
          <w:rFonts w:ascii="Arial" w:hAnsi="Arial" w:cs="Arial"/>
          <w:sz w:val="22"/>
          <w:szCs w:val="22"/>
        </w:rPr>
        <w:t xml:space="preserve"> </w:t>
      </w:r>
    </w:p>
    <w:p w:rsidR="00457CB8" w:rsidRPr="00663B65" w:rsidRDefault="00457CB8" w:rsidP="00457CB8">
      <w:pPr>
        <w:pStyle w:val="Default"/>
        <w:jc w:val="both"/>
        <w:rPr>
          <w:rFonts w:ascii="Arial" w:hAnsi="Arial" w:cs="Arial"/>
          <w:color w:val="auto"/>
          <w:sz w:val="22"/>
          <w:szCs w:val="22"/>
        </w:rPr>
      </w:pPr>
      <w:r w:rsidRPr="00663B65">
        <w:rPr>
          <w:rFonts w:ascii="Arial" w:hAnsi="Arial" w:cs="Arial"/>
          <w:color w:val="auto"/>
          <w:sz w:val="22"/>
          <w:szCs w:val="22"/>
        </w:rPr>
        <w:t xml:space="preserve"> </w:t>
      </w:r>
    </w:p>
    <w:p w:rsidR="00457CB8" w:rsidRPr="0063776A" w:rsidRDefault="00457CB8" w:rsidP="00457CB8">
      <w:pPr>
        <w:pStyle w:val="Default"/>
        <w:jc w:val="both"/>
        <w:rPr>
          <w:rFonts w:ascii="Arial" w:hAnsi="Arial" w:cs="Arial"/>
          <w:sz w:val="22"/>
          <w:szCs w:val="22"/>
        </w:rPr>
      </w:pPr>
      <w:r w:rsidRPr="0063776A">
        <w:rPr>
          <w:rFonts w:ascii="Arial" w:hAnsi="Arial" w:cs="Arial"/>
          <w:noProof/>
          <w:sz w:val="22"/>
          <w:szCs w:val="22"/>
          <w:lang w:val="es-419" w:eastAsia="es-419"/>
        </w:rPr>
        <w:drawing>
          <wp:anchor distT="0" distB="0" distL="114300" distR="114300" simplePos="0" relativeHeight="251662336" behindDoc="0" locked="0" layoutInCell="1" allowOverlap="1" wp14:anchorId="5492A7D1" wp14:editId="193CED65">
            <wp:simplePos x="0" y="0"/>
            <wp:positionH relativeFrom="column">
              <wp:posOffset>-2540</wp:posOffset>
            </wp:positionH>
            <wp:positionV relativeFrom="paragraph">
              <wp:posOffset>-5715</wp:posOffset>
            </wp:positionV>
            <wp:extent cx="1492250" cy="1118870"/>
            <wp:effectExtent l="0" t="0" r="0" b="5080"/>
            <wp:wrapSquare wrapText="bothSides"/>
            <wp:docPr id="17" name="Imagen 17" descr="C:\Users\rmontañoc\Documents\Instituto Nacional de Virología\Producción\Fotos PF\ACONDICIONAMIENTO\IMG1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montañoc\Documents\Instituto Nacional de Virología\Producción\Fotos PF\ACONDICIONAMIENTO\IMG10895.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492250"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76A">
        <w:rPr>
          <w:rFonts w:ascii="Arial" w:hAnsi="Arial" w:cs="Arial"/>
          <w:sz w:val="22"/>
          <w:szCs w:val="22"/>
        </w:rPr>
        <w:t xml:space="preserve">Cada año, BIRMEX </w:t>
      </w:r>
      <w:proofErr w:type="spellStart"/>
      <w:r w:rsidRPr="0063776A">
        <w:rPr>
          <w:rFonts w:ascii="Arial" w:hAnsi="Arial" w:cs="Arial"/>
          <w:sz w:val="22"/>
          <w:szCs w:val="22"/>
        </w:rPr>
        <w:t>produc</w:t>
      </w:r>
      <w:r w:rsidR="008959B2">
        <w:rPr>
          <w:rFonts w:ascii="Arial" w:hAnsi="Arial" w:cs="Arial"/>
          <w:sz w:val="22"/>
          <w:szCs w:val="22"/>
        </w:rPr>
        <w:t>ia</w:t>
      </w:r>
      <w:proofErr w:type="spellEnd"/>
      <w:r w:rsidRPr="0063776A">
        <w:rPr>
          <w:rFonts w:ascii="Arial" w:hAnsi="Arial" w:cs="Arial"/>
          <w:sz w:val="22"/>
          <w:szCs w:val="22"/>
        </w:rPr>
        <w:t xml:space="preserve"> aproximadamente 25 millones de dosis </w:t>
      </w:r>
      <w:r w:rsidRPr="00663B65">
        <w:rPr>
          <w:rFonts w:ascii="Arial" w:hAnsi="Arial" w:cs="Arial"/>
          <w:color w:val="auto"/>
          <w:sz w:val="22"/>
          <w:szCs w:val="22"/>
        </w:rPr>
        <w:t xml:space="preserve">de </w:t>
      </w:r>
      <w:proofErr w:type="spellStart"/>
      <w:r w:rsidRPr="00663B65">
        <w:rPr>
          <w:rFonts w:ascii="Arial" w:hAnsi="Arial" w:cs="Arial"/>
          <w:color w:val="auto"/>
          <w:sz w:val="22"/>
          <w:szCs w:val="22"/>
        </w:rPr>
        <w:t>bOPV</w:t>
      </w:r>
      <w:proofErr w:type="spellEnd"/>
      <w:r w:rsidRPr="00663B65">
        <w:rPr>
          <w:rFonts w:ascii="Arial" w:hAnsi="Arial" w:cs="Arial"/>
          <w:color w:val="auto"/>
          <w:sz w:val="22"/>
          <w:szCs w:val="22"/>
        </w:rPr>
        <w:t xml:space="preserve"> bajo </w:t>
      </w:r>
      <w:r w:rsidRPr="0063776A">
        <w:rPr>
          <w:rFonts w:ascii="Arial" w:hAnsi="Arial" w:cs="Arial"/>
          <w:sz w:val="22"/>
          <w:szCs w:val="22"/>
        </w:rPr>
        <w:t xml:space="preserve">los estándares de calidad, eficacia y seguridad, la cual es utilizada en su totalidad para la vacunación de todos los menores de 5 años en las Semanas Nacionales de </w:t>
      </w:r>
      <w:r>
        <w:rPr>
          <w:rFonts w:ascii="Arial" w:hAnsi="Arial" w:cs="Arial"/>
          <w:sz w:val="22"/>
          <w:szCs w:val="22"/>
        </w:rPr>
        <w:t>S</w:t>
      </w:r>
      <w:r w:rsidRPr="0063776A">
        <w:rPr>
          <w:rFonts w:ascii="Arial" w:hAnsi="Arial" w:cs="Arial"/>
          <w:sz w:val="22"/>
          <w:szCs w:val="22"/>
        </w:rPr>
        <w:t xml:space="preserve">alud. Es así como Birmex contribuye con el Sector Salud al fortalecimiento de la salud de la niñez mexicana. </w:t>
      </w:r>
    </w:p>
    <w:p w:rsidR="00457CB8" w:rsidRDefault="00457CB8" w:rsidP="00457CB8">
      <w:pPr>
        <w:pStyle w:val="Default"/>
        <w:rPr>
          <w:rFonts w:ascii="Arial" w:hAnsi="Arial" w:cs="Arial"/>
          <w:sz w:val="22"/>
          <w:szCs w:val="22"/>
        </w:rPr>
        <w:sectPr w:rsidR="00457CB8" w:rsidSect="00457CB8">
          <w:headerReference w:type="default" r:id="rId15"/>
          <w:pgSz w:w="12240" w:h="15840"/>
          <w:pgMar w:top="1417" w:right="1701" w:bottom="1417" w:left="1701" w:header="708" w:footer="708" w:gutter="0"/>
          <w:cols w:space="708"/>
          <w:docGrid w:linePitch="360"/>
        </w:sectPr>
      </w:pPr>
    </w:p>
    <w:p w:rsidR="00457CB8" w:rsidRPr="0063776A" w:rsidRDefault="00457CB8" w:rsidP="00457CB8">
      <w:pPr>
        <w:pStyle w:val="Default"/>
        <w:rPr>
          <w:rFonts w:ascii="Arial" w:hAnsi="Arial" w:cs="Arial"/>
          <w:sz w:val="22"/>
          <w:szCs w:val="22"/>
        </w:rPr>
      </w:pPr>
    </w:p>
    <w:p w:rsidR="00457CB8" w:rsidRDefault="00457CB8" w:rsidP="00457CB8">
      <w:pPr>
        <w:pStyle w:val="Prrafodelista"/>
        <w:rPr>
          <w:rFonts w:ascii="Arial" w:hAnsi="Arial" w:cs="Arial"/>
          <w:b/>
          <w:color w:val="0070C0"/>
        </w:rPr>
      </w:pPr>
    </w:p>
    <w:p w:rsidR="00457CB8" w:rsidRDefault="00457CB8" w:rsidP="00457CB8">
      <w:pPr>
        <w:pStyle w:val="Prrafodelista"/>
        <w:rPr>
          <w:rFonts w:ascii="Arial" w:hAnsi="Arial" w:cs="Arial"/>
          <w:b/>
          <w:color w:val="0070C0"/>
        </w:rPr>
      </w:pPr>
    </w:p>
    <w:p w:rsidR="00457CB8" w:rsidRDefault="00457CB8" w:rsidP="00457CB8">
      <w:pPr>
        <w:pStyle w:val="Prrafodelista"/>
        <w:rPr>
          <w:rFonts w:ascii="Arial" w:hAnsi="Arial" w:cs="Arial"/>
          <w:b/>
          <w:color w:val="0070C0"/>
        </w:rPr>
      </w:pPr>
    </w:p>
    <w:p w:rsidR="00457CB8" w:rsidRPr="00720433" w:rsidRDefault="00457CB8" w:rsidP="00457CB8">
      <w:pPr>
        <w:pStyle w:val="Prrafodelista"/>
        <w:numPr>
          <w:ilvl w:val="0"/>
          <w:numId w:val="8"/>
        </w:numPr>
        <w:spacing w:after="200" w:line="276" w:lineRule="auto"/>
        <w:rPr>
          <w:rFonts w:ascii="Arial" w:hAnsi="Arial" w:cs="Arial"/>
          <w:b/>
          <w:color w:val="0070C0"/>
        </w:rPr>
      </w:pPr>
      <w:r w:rsidRPr="00720433">
        <w:rPr>
          <w:rFonts w:ascii="Arial" w:hAnsi="Arial" w:cs="Arial"/>
          <w:b/>
          <w:color w:val="0070C0"/>
        </w:rPr>
        <w:t xml:space="preserve">Vacuna  </w:t>
      </w:r>
      <w:proofErr w:type="spellStart"/>
      <w:r w:rsidRPr="00720433">
        <w:rPr>
          <w:rFonts w:ascii="Arial" w:hAnsi="Arial" w:cs="Arial"/>
          <w:b/>
          <w:color w:val="0070C0"/>
        </w:rPr>
        <w:t>Td</w:t>
      </w:r>
      <w:proofErr w:type="spellEnd"/>
      <w:r w:rsidRPr="00720433">
        <w:rPr>
          <w:rFonts w:ascii="Arial" w:hAnsi="Arial" w:cs="Arial"/>
          <w:b/>
          <w:color w:val="0070C0"/>
        </w:rPr>
        <w:t xml:space="preserve"> Adulto</w:t>
      </w:r>
      <w:r>
        <w:rPr>
          <w:rStyle w:val="Refdenotaalpie"/>
          <w:rFonts w:ascii="Arial" w:hAnsi="Arial" w:cs="Arial"/>
          <w:b/>
          <w:color w:val="0070C0"/>
        </w:rPr>
        <w:footnoteReference w:id="2"/>
      </w:r>
    </w:p>
    <w:p w:rsidR="00457CB8" w:rsidRPr="00663B65" w:rsidRDefault="00457CB8" w:rsidP="00457CB8">
      <w:pPr>
        <w:jc w:val="both"/>
        <w:rPr>
          <w:rFonts w:ascii="Arial" w:hAnsi="Arial" w:cs="Arial"/>
          <w:b/>
        </w:rPr>
      </w:pPr>
      <w:r>
        <w:rPr>
          <w:noProof/>
          <w:lang w:val="es-419" w:eastAsia="es-419"/>
        </w:rPr>
        <w:drawing>
          <wp:anchor distT="0" distB="0" distL="114300" distR="114300" simplePos="0" relativeHeight="251663360" behindDoc="0" locked="0" layoutInCell="1" allowOverlap="1" wp14:anchorId="516C07D1" wp14:editId="3874CBBF">
            <wp:simplePos x="0" y="0"/>
            <wp:positionH relativeFrom="column">
              <wp:posOffset>-2540</wp:posOffset>
            </wp:positionH>
            <wp:positionV relativeFrom="paragraph">
              <wp:posOffset>20320</wp:posOffset>
            </wp:positionV>
            <wp:extent cx="2192020" cy="2851785"/>
            <wp:effectExtent l="0" t="0" r="0" b="5715"/>
            <wp:wrapSquare wrapText="bothSides"/>
            <wp:docPr id="32" name="Imagen 32" descr="C:\Users\pgarciab\AppData\Local\Microsoft\Windows\Temporary Internet Files\Content.Outlook\2HNAPKPT\BE-1500 PERSONAL OPERATIVO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arciab\AppData\Local\Microsoft\Windows\Temporary Internet Files\Content.Outlook\2HNAPKPT\BE-1500 PERSONAL OPERATIVO 3 (2).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92020" cy="2851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lang w:eastAsia="es-MX"/>
        </w:rPr>
        <w:t xml:space="preserve">Es una </w:t>
      </w:r>
      <w:r w:rsidRPr="00661D63">
        <w:rPr>
          <w:rFonts w:ascii="Arial" w:hAnsi="Arial" w:cs="Arial"/>
          <w:lang w:eastAsia="es-MX"/>
        </w:rPr>
        <w:t xml:space="preserve">vacuna </w:t>
      </w:r>
      <w:r>
        <w:rPr>
          <w:rFonts w:ascii="Arial" w:hAnsi="Arial" w:cs="Arial"/>
          <w:lang w:eastAsia="es-MX"/>
        </w:rPr>
        <w:t xml:space="preserve">combinada que contiene los </w:t>
      </w:r>
      <w:r w:rsidRPr="00661D63">
        <w:rPr>
          <w:rFonts w:ascii="Arial" w:hAnsi="Arial" w:cs="Arial"/>
          <w:lang w:eastAsia="es-MX"/>
        </w:rPr>
        <w:t>toxoide</w:t>
      </w:r>
      <w:r>
        <w:rPr>
          <w:rFonts w:ascii="Arial" w:hAnsi="Arial" w:cs="Arial"/>
          <w:lang w:eastAsia="es-MX"/>
        </w:rPr>
        <w:t>s tetánico y</w:t>
      </w:r>
      <w:r w:rsidRPr="00661D63">
        <w:rPr>
          <w:rFonts w:ascii="Arial" w:hAnsi="Arial" w:cs="Arial"/>
          <w:lang w:eastAsia="es-MX"/>
        </w:rPr>
        <w:t xml:space="preserve"> diftérico, obtenidos a partir de la </w:t>
      </w:r>
      <w:proofErr w:type="spellStart"/>
      <w:r w:rsidRPr="00663B65">
        <w:rPr>
          <w:rFonts w:ascii="Arial" w:hAnsi="Arial" w:cs="Arial"/>
          <w:lang w:eastAsia="es-MX"/>
        </w:rPr>
        <w:t>destoxificación</w:t>
      </w:r>
      <w:proofErr w:type="spellEnd"/>
      <w:r w:rsidRPr="00663B65">
        <w:rPr>
          <w:rFonts w:ascii="Arial" w:hAnsi="Arial" w:cs="Arial"/>
          <w:lang w:eastAsia="es-MX"/>
        </w:rPr>
        <w:t xml:space="preserve"> de las toxinas obtenidas a nivel industrial mediante un cultivo sumergido de los microorganismos </w:t>
      </w:r>
      <w:proofErr w:type="spellStart"/>
      <w:r w:rsidRPr="00663B65">
        <w:rPr>
          <w:i/>
          <w:iCs/>
          <w:lang w:eastAsia="es-MX"/>
        </w:rPr>
        <w:t>Clostridium</w:t>
      </w:r>
      <w:proofErr w:type="spellEnd"/>
      <w:r w:rsidRPr="00663B65">
        <w:rPr>
          <w:i/>
          <w:iCs/>
          <w:lang w:eastAsia="es-MX"/>
        </w:rPr>
        <w:t xml:space="preserve"> </w:t>
      </w:r>
      <w:proofErr w:type="spellStart"/>
      <w:r w:rsidRPr="00663B65">
        <w:rPr>
          <w:i/>
          <w:iCs/>
          <w:lang w:eastAsia="es-MX"/>
        </w:rPr>
        <w:t>tetani</w:t>
      </w:r>
      <w:proofErr w:type="spellEnd"/>
      <w:r w:rsidRPr="00663B65">
        <w:rPr>
          <w:rFonts w:ascii="Arial" w:hAnsi="Arial" w:cs="Arial"/>
          <w:lang w:eastAsia="es-MX"/>
        </w:rPr>
        <w:t xml:space="preserve"> y de </w:t>
      </w:r>
      <w:proofErr w:type="spellStart"/>
      <w:r w:rsidRPr="00663B65">
        <w:rPr>
          <w:i/>
          <w:iCs/>
          <w:lang w:eastAsia="es-MX"/>
        </w:rPr>
        <w:t>Corynebacterium</w:t>
      </w:r>
      <w:proofErr w:type="spellEnd"/>
      <w:r w:rsidRPr="00663B65">
        <w:rPr>
          <w:i/>
          <w:iCs/>
          <w:lang w:eastAsia="es-MX"/>
        </w:rPr>
        <w:t xml:space="preserve"> </w:t>
      </w:r>
      <w:proofErr w:type="spellStart"/>
      <w:r w:rsidRPr="00663B65">
        <w:rPr>
          <w:i/>
          <w:iCs/>
          <w:lang w:eastAsia="es-MX"/>
        </w:rPr>
        <w:t>diphtheriae</w:t>
      </w:r>
      <w:proofErr w:type="spellEnd"/>
      <w:r w:rsidRPr="00663B65">
        <w:rPr>
          <w:rFonts w:ascii="Arial" w:hAnsi="Arial" w:cs="Arial"/>
          <w:lang w:eastAsia="es-MX"/>
        </w:rPr>
        <w:t>, bacterias causantes del Tétanos y la Difteria respectivamente.</w:t>
      </w:r>
    </w:p>
    <w:p w:rsidR="00457CB8" w:rsidRDefault="00457CB8" w:rsidP="00457CB8">
      <w:pPr>
        <w:pStyle w:val="NormalWeb"/>
        <w:jc w:val="both"/>
        <w:rPr>
          <w:rFonts w:ascii="Arial" w:hAnsi="Arial" w:cs="Arial"/>
          <w:sz w:val="22"/>
          <w:szCs w:val="22"/>
        </w:rPr>
      </w:pPr>
      <w:r w:rsidRPr="00661D63">
        <w:rPr>
          <w:rFonts w:ascii="Arial" w:hAnsi="Arial" w:cs="Arial"/>
          <w:sz w:val="22"/>
          <w:szCs w:val="22"/>
        </w:rPr>
        <w:t>Los toxoides purificados se ad</w:t>
      </w:r>
      <w:r>
        <w:rPr>
          <w:rFonts w:ascii="Arial" w:hAnsi="Arial" w:cs="Arial"/>
          <w:sz w:val="22"/>
          <w:szCs w:val="22"/>
        </w:rPr>
        <w:t xml:space="preserve">sorben en hidróxido de aluminio, el cual actúa </w:t>
      </w:r>
      <w:r w:rsidRPr="00661D63">
        <w:rPr>
          <w:rFonts w:ascii="Arial" w:hAnsi="Arial" w:cs="Arial"/>
          <w:sz w:val="22"/>
          <w:szCs w:val="22"/>
        </w:rPr>
        <w:t xml:space="preserve">como adyuvante para aumentar la potencia </w:t>
      </w:r>
      <w:proofErr w:type="spellStart"/>
      <w:r w:rsidRPr="00661D63">
        <w:rPr>
          <w:rFonts w:ascii="Arial" w:hAnsi="Arial" w:cs="Arial"/>
          <w:sz w:val="22"/>
          <w:szCs w:val="22"/>
        </w:rPr>
        <w:t>inmunogén</w:t>
      </w:r>
      <w:r>
        <w:rPr>
          <w:rFonts w:ascii="Arial" w:hAnsi="Arial" w:cs="Arial"/>
          <w:sz w:val="22"/>
          <w:szCs w:val="22"/>
        </w:rPr>
        <w:t>ica</w:t>
      </w:r>
      <w:proofErr w:type="spellEnd"/>
      <w:r>
        <w:rPr>
          <w:rFonts w:ascii="Arial" w:hAnsi="Arial" w:cs="Arial"/>
          <w:sz w:val="22"/>
          <w:szCs w:val="22"/>
        </w:rPr>
        <w:t xml:space="preserve"> de la vacuna.</w:t>
      </w:r>
    </w:p>
    <w:p w:rsidR="00457CB8" w:rsidRDefault="00457CB8" w:rsidP="00457CB8">
      <w:pPr>
        <w:pStyle w:val="NormalWeb"/>
        <w:jc w:val="both"/>
        <w:rPr>
          <w:rFonts w:ascii="Arial" w:hAnsi="Arial" w:cs="Arial"/>
          <w:sz w:val="22"/>
          <w:szCs w:val="22"/>
        </w:rPr>
      </w:pPr>
      <w:r>
        <w:rPr>
          <w:rFonts w:ascii="Arial" w:hAnsi="Arial" w:cs="Arial"/>
          <w:sz w:val="22"/>
          <w:szCs w:val="22"/>
        </w:rPr>
        <w:t>Las operaciones industriales de fabricación de cada uno de los componentes de la vacuna, la formulación, el envase y acondicionamiento se realizan en estricto apego a la Norma Oficial Mexicana (NOM-059-SSA1-</w:t>
      </w:r>
      <w:r w:rsidRPr="00663B65">
        <w:rPr>
          <w:rFonts w:ascii="Arial" w:hAnsi="Arial" w:cs="Arial"/>
          <w:sz w:val="22"/>
          <w:szCs w:val="22"/>
        </w:rPr>
        <w:t xml:space="preserve">2015 </w:t>
      </w:r>
      <w:r w:rsidRPr="00663B65">
        <w:rPr>
          <w:rFonts w:ascii="Arial" w:hAnsi="Arial" w:cs="Arial"/>
          <w:i/>
          <w:sz w:val="22"/>
          <w:szCs w:val="22"/>
        </w:rPr>
        <w:t xml:space="preserve">buenas </w:t>
      </w:r>
      <w:r w:rsidRPr="000F4333">
        <w:rPr>
          <w:rFonts w:ascii="Arial" w:hAnsi="Arial" w:cs="Arial"/>
          <w:i/>
          <w:sz w:val="22"/>
          <w:szCs w:val="22"/>
        </w:rPr>
        <w:t>prácticas de fabricación de medicamentos</w:t>
      </w:r>
      <w:r>
        <w:rPr>
          <w:rFonts w:ascii="Arial" w:hAnsi="Arial" w:cs="Arial"/>
          <w:sz w:val="22"/>
          <w:szCs w:val="22"/>
        </w:rPr>
        <w:t xml:space="preserve">) y al cabal cumplimiento de las especificaciones establecidas en la Farmacopea de los Estados Unidos Mexicanos. </w:t>
      </w:r>
    </w:p>
    <w:p w:rsidR="00457CB8" w:rsidRDefault="00457CB8" w:rsidP="00457CB8">
      <w:pPr>
        <w:pStyle w:val="NormalWeb"/>
        <w:jc w:val="center"/>
      </w:pPr>
      <w:r>
        <w:rPr>
          <w:noProof/>
          <w:lang w:val="es-419" w:eastAsia="es-419"/>
        </w:rPr>
        <w:drawing>
          <wp:inline distT="0" distB="0" distL="0" distR="0" wp14:anchorId="73B92AA9" wp14:editId="21A69227">
            <wp:extent cx="3010535" cy="1742440"/>
            <wp:effectExtent l="0" t="0" r="0" b="0"/>
            <wp:docPr id="23" name="Imagen 23" descr="COLUM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UMNA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0535" cy="1742440"/>
                    </a:xfrm>
                    <a:prstGeom prst="rect">
                      <a:avLst/>
                    </a:prstGeom>
                    <a:noFill/>
                    <a:ln>
                      <a:noFill/>
                    </a:ln>
                  </pic:spPr>
                </pic:pic>
              </a:graphicData>
            </a:graphic>
          </wp:inline>
        </w:drawing>
      </w:r>
    </w:p>
    <w:p w:rsidR="00457CB8" w:rsidRDefault="00457CB8" w:rsidP="00457CB8">
      <w:pPr>
        <w:pStyle w:val="NormalWeb"/>
        <w:spacing w:before="0" w:beforeAutospacing="0" w:after="0" w:afterAutospacing="0"/>
        <w:jc w:val="both"/>
        <w:rPr>
          <w:rFonts w:ascii="Arial" w:hAnsi="Arial" w:cs="Arial"/>
          <w:sz w:val="22"/>
          <w:szCs w:val="22"/>
        </w:rPr>
      </w:pPr>
      <w:r>
        <w:rPr>
          <w:rFonts w:ascii="Arial" w:hAnsi="Arial" w:cs="Arial"/>
          <w:noProof/>
          <w:sz w:val="22"/>
          <w:szCs w:val="22"/>
          <w:lang w:val="es-419" w:eastAsia="es-419"/>
        </w:rPr>
        <w:lastRenderedPageBreak/>
        <w:drawing>
          <wp:anchor distT="0" distB="0" distL="114300" distR="114300" simplePos="0" relativeHeight="251664384" behindDoc="0" locked="0" layoutInCell="1" allowOverlap="0" wp14:anchorId="0E41A648" wp14:editId="0794CFE8">
            <wp:simplePos x="0" y="0"/>
            <wp:positionH relativeFrom="column">
              <wp:posOffset>-250825</wp:posOffset>
            </wp:positionH>
            <wp:positionV relativeFrom="paragraph">
              <wp:posOffset>41910</wp:posOffset>
            </wp:positionV>
            <wp:extent cx="2668270" cy="1909445"/>
            <wp:effectExtent l="0" t="0" r="0" b="0"/>
            <wp:wrapSquare wrapText="bothSides"/>
            <wp:docPr id="31" name="Imagen 31" descr="C:\Users\pgarciab\AppData\Local\Microsoft\Windows\Temporary Internet Files\Content.Outlook\2HNAPKPT\DSC01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arciab\AppData\Local\Microsoft\Windows\Temporary Internet Files\Content.Outlook\2HNAPKPT\DSC0169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857" b="16315"/>
                    <a:stretch/>
                  </pic:blipFill>
                  <pic:spPr bwMode="auto">
                    <a:xfrm>
                      <a:off x="0" y="0"/>
                      <a:ext cx="2668270" cy="1909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1D63">
        <w:rPr>
          <w:rFonts w:ascii="Arial" w:hAnsi="Arial" w:cs="Arial"/>
          <w:sz w:val="22"/>
          <w:szCs w:val="22"/>
        </w:rPr>
        <w:t xml:space="preserve">Los toxoides tetánico y diftérico inducen anticuerpos </w:t>
      </w:r>
      <w:r>
        <w:rPr>
          <w:rFonts w:ascii="Arial" w:hAnsi="Arial" w:cs="Arial"/>
          <w:sz w:val="22"/>
          <w:szCs w:val="22"/>
        </w:rPr>
        <w:t>en los individuos vacunados que neutralizan la acción de</w:t>
      </w:r>
      <w:r w:rsidRPr="00661D63">
        <w:rPr>
          <w:rFonts w:ascii="Arial" w:hAnsi="Arial" w:cs="Arial"/>
          <w:sz w:val="22"/>
          <w:szCs w:val="22"/>
        </w:rPr>
        <w:t xml:space="preserve"> las toxinas producidas por las bacterias y la protección </w:t>
      </w:r>
      <w:r>
        <w:rPr>
          <w:rFonts w:ascii="Arial" w:hAnsi="Arial" w:cs="Arial"/>
          <w:sz w:val="22"/>
          <w:szCs w:val="22"/>
        </w:rPr>
        <w:t xml:space="preserve">del individuo </w:t>
      </w:r>
      <w:r w:rsidRPr="00661D63">
        <w:rPr>
          <w:rFonts w:ascii="Arial" w:hAnsi="Arial" w:cs="Arial"/>
          <w:sz w:val="22"/>
          <w:szCs w:val="22"/>
        </w:rPr>
        <w:t>persiste por lo menos 10 años.</w:t>
      </w:r>
    </w:p>
    <w:p w:rsidR="00457CB8" w:rsidRPr="00661D63" w:rsidRDefault="00457CB8" w:rsidP="00457CB8">
      <w:pPr>
        <w:pStyle w:val="NormalWeb"/>
        <w:spacing w:before="0" w:beforeAutospacing="0" w:after="0" w:afterAutospacing="0"/>
        <w:jc w:val="both"/>
        <w:rPr>
          <w:rFonts w:ascii="Arial" w:hAnsi="Arial" w:cs="Arial"/>
          <w:sz w:val="22"/>
          <w:szCs w:val="22"/>
        </w:rPr>
      </w:pPr>
    </w:p>
    <w:p w:rsidR="00457CB8" w:rsidRDefault="00457CB8" w:rsidP="00457CB8">
      <w:pPr>
        <w:pStyle w:val="NormalWeb"/>
        <w:spacing w:before="0" w:beforeAutospacing="0" w:after="0" w:afterAutospacing="0"/>
        <w:jc w:val="both"/>
        <w:rPr>
          <w:rFonts w:ascii="Arial" w:hAnsi="Arial" w:cs="Arial"/>
          <w:sz w:val="22"/>
          <w:szCs w:val="22"/>
        </w:rPr>
      </w:pPr>
      <w:r w:rsidRPr="00661D63">
        <w:rPr>
          <w:rFonts w:ascii="Arial" w:hAnsi="Arial" w:cs="Arial"/>
          <w:sz w:val="22"/>
          <w:szCs w:val="22"/>
        </w:rPr>
        <w:t xml:space="preserve">La vacuna </w:t>
      </w:r>
      <w:proofErr w:type="spellStart"/>
      <w:r w:rsidRPr="00661D63">
        <w:rPr>
          <w:rFonts w:ascii="Arial" w:hAnsi="Arial" w:cs="Arial"/>
          <w:sz w:val="22"/>
          <w:szCs w:val="22"/>
        </w:rPr>
        <w:t>Td</w:t>
      </w:r>
      <w:proofErr w:type="spellEnd"/>
      <w:r>
        <w:rPr>
          <w:rFonts w:ascii="Arial" w:hAnsi="Arial" w:cs="Arial"/>
          <w:sz w:val="22"/>
          <w:szCs w:val="22"/>
        </w:rPr>
        <w:t xml:space="preserve"> Adulto, </w:t>
      </w:r>
      <w:r w:rsidRPr="00661D63">
        <w:rPr>
          <w:rFonts w:ascii="Arial" w:hAnsi="Arial" w:cs="Arial"/>
          <w:sz w:val="22"/>
          <w:szCs w:val="22"/>
        </w:rPr>
        <w:t xml:space="preserve">se indica para la inmunización activa contra el tétanos y </w:t>
      </w:r>
      <w:r>
        <w:rPr>
          <w:rFonts w:ascii="Arial" w:hAnsi="Arial" w:cs="Arial"/>
          <w:sz w:val="22"/>
          <w:szCs w:val="22"/>
        </w:rPr>
        <w:t>la</w:t>
      </w:r>
      <w:r w:rsidRPr="00661D63">
        <w:rPr>
          <w:rFonts w:ascii="Arial" w:hAnsi="Arial" w:cs="Arial"/>
          <w:sz w:val="22"/>
          <w:szCs w:val="22"/>
        </w:rPr>
        <w:t xml:space="preserve"> difteria</w:t>
      </w:r>
      <w:r>
        <w:rPr>
          <w:rFonts w:ascii="Arial" w:hAnsi="Arial" w:cs="Arial"/>
          <w:sz w:val="22"/>
          <w:szCs w:val="22"/>
        </w:rPr>
        <w:t xml:space="preserve"> </w:t>
      </w:r>
      <w:r w:rsidRPr="00661D63">
        <w:rPr>
          <w:rFonts w:ascii="Arial" w:hAnsi="Arial" w:cs="Arial"/>
          <w:sz w:val="22"/>
          <w:szCs w:val="22"/>
        </w:rPr>
        <w:t>en</w:t>
      </w:r>
      <w:r>
        <w:rPr>
          <w:rFonts w:ascii="Arial" w:hAnsi="Arial" w:cs="Arial"/>
          <w:sz w:val="22"/>
          <w:szCs w:val="22"/>
        </w:rPr>
        <w:t xml:space="preserve">: </w:t>
      </w:r>
      <w:r w:rsidRPr="00843B7A">
        <w:rPr>
          <w:rFonts w:ascii="Arial" w:hAnsi="Arial" w:cs="Arial"/>
          <w:sz w:val="22"/>
          <w:szCs w:val="22"/>
        </w:rPr>
        <w:t xml:space="preserve">Adultos y niños a partir de los 5 años de edad, </w:t>
      </w:r>
      <w:r>
        <w:rPr>
          <w:rFonts w:ascii="Arial" w:hAnsi="Arial" w:cs="Arial"/>
          <w:sz w:val="22"/>
          <w:szCs w:val="22"/>
        </w:rPr>
        <w:t>m</w:t>
      </w:r>
      <w:r w:rsidRPr="00843B7A">
        <w:rPr>
          <w:rFonts w:ascii="Arial" w:hAnsi="Arial" w:cs="Arial"/>
          <w:sz w:val="22"/>
          <w:szCs w:val="22"/>
        </w:rPr>
        <w:t>ujeres embarazadas para prevenir el Tétanos neonatal</w:t>
      </w:r>
      <w:r>
        <w:rPr>
          <w:rFonts w:ascii="Arial" w:hAnsi="Arial" w:cs="Arial"/>
          <w:sz w:val="22"/>
          <w:szCs w:val="22"/>
        </w:rPr>
        <w:t xml:space="preserve"> y g</w:t>
      </w:r>
      <w:r w:rsidRPr="00B50601">
        <w:rPr>
          <w:rFonts w:ascii="Arial" w:hAnsi="Arial" w:cs="Arial"/>
          <w:sz w:val="22"/>
          <w:szCs w:val="22"/>
        </w:rPr>
        <w:t>rupos de riesgo que requieren inmunidad contra estas enfermedades.</w:t>
      </w:r>
    </w:p>
    <w:p w:rsidR="00457CB8" w:rsidRPr="00B50601" w:rsidRDefault="00457CB8" w:rsidP="00457CB8">
      <w:pPr>
        <w:pStyle w:val="NormalWeb"/>
        <w:spacing w:before="0" w:beforeAutospacing="0" w:after="0" w:afterAutospacing="0"/>
        <w:jc w:val="both"/>
        <w:rPr>
          <w:rFonts w:ascii="Arial" w:hAnsi="Arial" w:cs="Arial"/>
          <w:sz w:val="22"/>
          <w:szCs w:val="22"/>
        </w:rPr>
      </w:pPr>
    </w:p>
    <w:p w:rsidR="00457CB8" w:rsidRDefault="00457CB8" w:rsidP="00457CB8">
      <w:pPr>
        <w:pStyle w:val="NormalWeb"/>
        <w:jc w:val="both"/>
        <w:rPr>
          <w:rFonts w:ascii="Arial" w:hAnsi="Arial" w:cs="Arial"/>
          <w:sz w:val="22"/>
          <w:szCs w:val="22"/>
        </w:rPr>
      </w:pPr>
      <w:r>
        <w:rPr>
          <w:noProof/>
          <w:lang w:val="es-419" w:eastAsia="es-419"/>
        </w:rPr>
        <w:drawing>
          <wp:anchor distT="0" distB="0" distL="114300" distR="114300" simplePos="0" relativeHeight="251665408" behindDoc="0" locked="0" layoutInCell="1" allowOverlap="1" wp14:anchorId="72F8B026" wp14:editId="498A9CD6">
            <wp:simplePos x="0" y="0"/>
            <wp:positionH relativeFrom="column">
              <wp:posOffset>-6985</wp:posOffset>
            </wp:positionH>
            <wp:positionV relativeFrom="paragraph">
              <wp:posOffset>33655</wp:posOffset>
            </wp:positionV>
            <wp:extent cx="3199130" cy="1169035"/>
            <wp:effectExtent l="0" t="0" r="1270" b="0"/>
            <wp:wrapSquare wrapText="bothSides"/>
            <wp:docPr id="30" name="Imagen 30" descr="DSC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011"/>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t="25753" b="35313"/>
                    <a:stretch/>
                  </pic:blipFill>
                  <pic:spPr bwMode="auto">
                    <a:xfrm>
                      <a:off x="0" y="0"/>
                      <a:ext cx="3199130" cy="1169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2"/>
          <w:szCs w:val="22"/>
        </w:rPr>
        <w:t xml:space="preserve">La inclusión en 1997 de la vacuna </w:t>
      </w:r>
      <w:proofErr w:type="spellStart"/>
      <w:r>
        <w:rPr>
          <w:rFonts w:ascii="Arial" w:hAnsi="Arial" w:cs="Arial"/>
          <w:sz w:val="22"/>
          <w:szCs w:val="22"/>
        </w:rPr>
        <w:t>Td</w:t>
      </w:r>
      <w:proofErr w:type="spellEnd"/>
      <w:r>
        <w:rPr>
          <w:rFonts w:ascii="Arial" w:hAnsi="Arial" w:cs="Arial"/>
          <w:sz w:val="22"/>
          <w:szCs w:val="22"/>
        </w:rPr>
        <w:t xml:space="preserve"> Adulto</w:t>
      </w:r>
      <w:r w:rsidRPr="00132C93">
        <w:rPr>
          <w:rFonts w:ascii="Arial" w:hAnsi="Arial" w:cs="Arial"/>
          <w:sz w:val="22"/>
          <w:szCs w:val="22"/>
        </w:rPr>
        <w:t xml:space="preserve"> </w:t>
      </w:r>
      <w:r>
        <w:rPr>
          <w:rFonts w:ascii="Arial" w:hAnsi="Arial" w:cs="Arial"/>
          <w:sz w:val="22"/>
          <w:szCs w:val="22"/>
        </w:rPr>
        <w:t xml:space="preserve">en los programas nacionales de vacunación representó un cambio en la estrategia nacional de vacunación, ya que la encuesta </w:t>
      </w:r>
      <w:proofErr w:type="spellStart"/>
      <w:r>
        <w:rPr>
          <w:rFonts w:ascii="Arial" w:hAnsi="Arial" w:cs="Arial"/>
          <w:sz w:val="22"/>
          <w:szCs w:val="22"/>
        </w:rPr>
        <w:t>seroepidemiológica</w:t>
      </w:r>
      <w:proofErr w:type="spellEnd"/>
      <w:r>
        <w:rPr>
          <w:rFonts w:ascii="Arial" w:hAnsi="Arial" w:cs="Arial"/>
          <w:sz w:val="22"/>
          <w:szCs w:val="22"/>
        </w:rPr>
        <w:t xml:space="preserve"> realizada en 1995 demostró que el 50 por ciento de los adultos mayores de 18 años estudiados eran susceptibles a la difteria, por lo que era necesario proteger a dicha población de la enfermedad, para lo cual se realizó una formulación especial para la población objetivo e incorporar el componente diftérico a la vacuna Toxoide Tetánico que se usaba en ese momento.  </w:t>
      </w:r>
    </w:p>
    <w:p w:rsidR="00457CB8" w:rsidRDefault="00457CB8" w:rsidP="00457CB8">
      <w:pPr>
        <w:pStyle w:val="NormalWeb"/>
        <w:jc w:val="both"/>
        <w:rPr>
          <w:rFonts w:ascii="Arial" w:hAnsi="Arial" w:cs="Arial"/>
          <w:sz w:val="22"/>
          <w:szCs w:val="22"/>
        </w:rPr>
      </w:pPr>
      <w:r>
        <w:rPr>
          <w:rFonts w:ascii="Arial" w:hAnsi="Arial" w:cs="Arial"/>
          <w:sz w:val="22"/>
          <w:szCs w:val="22"/>
        </w:rPr>
        <w:t xml:space="preserve">Desde la inclusión de la vacuna </w:t>
      </w:r>
      <w:proofErr w:type="spellStart"/>
      <w:r>
        <w:rPr>
          <w:rFonts w:ascii="Arial" w:hAnsi="Arial" w:cs="Arial"/>
          <w:sz w:val="22"/>
          <w:szCs w:val="22"/>
        </w:rPr>
        <w:t>Td</w:t>
      </w:r>
      <w:proofErr w:type="spellEnd"/>
      <w:r>
        <w:rPr>
          <w:rFonts w:ascii="Arial" w:hAnsi="Arial" w:cs="Arial"/>
          <w:sz w:val="22"/>
          <w:szCs w:val="22"/>
        </w:rPr>
        <w:t xml:space="preserve"> Adulto en los programas nacionales de vacunación</w:t>
      </w:r>
      <w:r w:rsidRPr="00B63452">
        <w:rPr>
          <w:rFonts w:ascii="Arial" w:hAnsi="Arial" w:cs="Arial"/>
          <w:sz w:val="22"/>
          <w:szCs w:val="22"/>
        </w:rPr>
        <w:t xml:space="preserve"> </w:t>
      </w:r>
      <w:r>
        <w:rPr>
          <w:rFonts w:ascii="Arial" w:hAnsi="Arial" w:cs="Arial"/>
          <w:sz w:val="22"/>
          <w:szCs w:val="22"/>
        </w:rPr>
        <w:t xml:space="preserve">BIRMEX a través de su planta del Instituto Nacional de Higiene produce la vacuna para cubrir la demanda nacional, dicha producción asciende en promedio 15.0 millones de dosis anuales </w:t>
      </w:r>
    </w:p>
    <w:p w:rsidR="00457CB8" w:rsidRPr="00663B65" w:rsidRDefault="00457CB8" w:rsidP="00457CB8">
      <w:pPr>
        <w:pStyle w:val="NormalWeb"/>
        <w:jc w:val="both"/>
        <w:rPr>
          <w:rFonts w:ascii="Arial" w:hAnsi="Arial" w:cs="Arial"/>
          <w:sz w:val="22"/>
          <w:szCs w:val="22"/>
        </w:rPr>
      </w:pPr>
      <w:r>
        <w:rPr>
          <w:rFonts w:ascii="Arial" w:hAnsi="Arial" w:cs="Arial"/>
          <w:sz w:val="22"/>
          <w:szCs w:val="22"/>
        </w:rPr>
        <w:t xml:space="preserve">Con el uso de </w:t>
      </w:r>
      <w:r w:rsidRPr="00663B65">
        <w:rPr>
          <w:rFonts w:ascii="Arial" w:hAnsi="Arial" w:cs="Arial"/>
          <w:sz w:val="22"/>
          <w:szCs w:val="22"/>
        </w:rPr>
        <w:t xml:space="preserve">esta vacuna se ha reducido drásticamente la incidencia del Tétanos neonatal de 25 casos en 1998 a solo un caso en el 2014 y ha contribuido a mantener libre al país de la circulación de </w:t>
      </w:r>
      <w:proofErr w:type="spellStart"/>
      <w:r w:rsidRPr="00663B65">
        <w:rPr>
          <w:rStyle w:val="nfasis"/>
          <w:rFonts w:ascii="Arial" w:hAnsi="Arial" w:cs="Arial"/>
          <w:sz w:val="22"/>
          <w:szCs w:val="22"/>
        </w:rPr>
        <w:t>Corynebacterium</w:t>
      </w:r>
      <w:proofErr w:type="spellEnd"/>
      <w:r w:rsidRPr="00663B65">
        <w:rPr>
          <w:rStyle w:val="nfasis"/>
          <w:rFonts w:ascii="Arial" w:hAnsi="Arial" w:cs="Arial"/>
          <w:sz w:val="22"/>
          <w:szCs w:val="22"/>
        </w:rPr>
        <w:t xml:space="preserve"> </w:t>
      </w:r>
      <w:proofErr w:type="spellStart"/>
      <w:r w:rsidRPr="00663B65">
        <w:rPr>
          <w:rStyle w:val="nfasis"/>
          <w:rFonts w:ascii="Arial" w:hAnsi="Arial" w:cs="Arial"/>
          <w:sz w:val="22"/>
          <w:szCs w:val="22"/>
        </w:rPr>
        <w:t>diphtheriae</w:t>
      </w:r>
      <w:proofErr w:type="spellEnd"/>
      <w:r w:rsidRPr="00663B65">
        <w:rPr>
          <w:rStyle w:val="nfasis"/>
          <w:rFonts w:ascii="Arial" w:hAnsi="Arial" w:cs="Arial"/>
          <w:sz w:val="22"/>
          <w:szCs w:val="22"/>
        </w:rPr>
        <w:t>,</w:t>
      </w:r>
      <w:r w:rsidRPr="00663B65">
        <w:rPr>
          <w:rFonts w:ascii="Arial" w:hAnsi="Arial" w:cs="Arial"/>
          <w:sz w:val="22"/>
          <w:szCs w:val="22"/>
        </w:rPr>
        <w:t xml:space="preserve"> ya que no se ha registrado ningún caso de Difteria desde 1992 y la tasa de morbilidad del Tétanos en el año 2017 fue de 0.02 por cada 100,000 habitantes y de 0.05 de tétanos neonatal también por cada 100,000 habitantes menores de un año.</w:t>
      </w:r>
    </w:p>
    <w:p w:rsidR="00457CB8" w:rsidRPr="00843B7A" w:rsidRDefault="00457CB8" w:rsidP="00457CB8">
      <w:pPr>
        <w:pStyle w:val="NormalWeb"/>
        <w:numPr>
          <w:ilvl w:val="0"/>
          <w:numId w:val="8"/>
        </w:numPr>
        <w:jc w:val="both"/>
        <w:rPr>
          <w:rFonts w:ascii="Arial" w:eastAsiaTheme="minorHAnsi" w:hAnsi="Arial" w:cs="Arial"/>
          <w:b/>
          <w:color w:val="0070C0"/>
          <w:szCs w:val="22"/>
          <w:lang w:eastAsia="en-US"/>
        </w:rPr>
      </w:pPr>
      <w:r w:rsidRPr="00843B7A">
        <w:rPr>
          <w:rFonts w:ascii="Arial" w:eastAsiaTheme="minorHAnsi" w:hAnsi="Arial" w:cs="Arial"/>
          <w:b/>
          <w:color w:val="0070C0"/>
          <w:szCs w:val="22"/>
          <w:lang w:eastAsia="en-US"/>
        </w:rPr>
        <w:t>Faboterápicos</w:t>
      </w:r>
      <w:r>
        <w:rPr>
          <w:rStyle w:val="Refdenotaalpie"/>
          <w:rFonts w:ascii="Arial" w:eastAsiaTheme="minorHAnsi" w:hAnsi="Arial" w:cs="Arial"/>
          <w:b/>
          <w:color w:val="0070C0"/>
          <w:szCs w:val="22"/>
          <w:lang w:eastAsia="en-US"/>
        </w:rPr>
        <w:footnoteReference w:id="3"/>
      </w:r>
    </w:p>
    <w:p w:rsidR="00457CB8" w:rsidRDefault="00457CB8" w:rsidP="00457CB8">
      <w:pPr>
        <w:pStyle w:val="NormalWeb"/>
        <w:jc w:val="both"/>
        <w:rPr>
          <w:rFonts w:ascii="Arial" w:hAnsi="Arial" w:cs="Arial"/>
          <w:sz w:val="22"/>
          <w:szCs w:val="22"/>
        </w:rPr>
      </w:pPr>
      <w:r w:rsidRPr="00663B65">
        <w:rPr>
          <w:noProof/>
          <w:lang w:val="es-419" w:eastAsia="es-419"/>
        </w:rPr>
        <w:drawing>
          <wp:anchor distT="0" distB="0" distL="114300" distR="114300" simplePos="0" relativeHeight="251666432" behindDoc="0" locked="0" layoutInCell="1" allowOverlap="1" wp14:anchorId="65AFA178" wp14:editId="1DD26FBB">
            <wp:simplePos x="0" y="0"/>
            <wp:positionH relativeFrom="column">
              <wp:posOffset>-3810</wp:posOffset>
            </wp:positionH>
            <wp:positionV relativeFrom="paragraph">
              <wp:posOffset>3810</wp:posOffset>
            </wp:positionV>
            <wp:extent cx="1371600" cy="1533525"/>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l="8333" r="8333" b="-4036"/>
                    <a:stretch>
                      <a:fillRect/>
                    </a:stretch>
                  </pic:blipFill>
                  <pic:spPr bwMode="auto">
                    <a:xfrm>
                      <a:off x="0" y="0"/>
                      <a:ext cx="13716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B65">
        <w:rPr>
          <w:rFonts w:ascii="Arial" w:hAnsi="Arial" w:cs="Arial"/>
          <w:sz w:val="22"/>
          <w:szCs w:val="22"/>
        </w:rPr>
        <w:t xml:space="preserve">Los Faboterápicos son preparaciones de inmunoglobulinas específicas modificadas por digestión enzimática, liofilizadas y libres de albumina, dirigidos a neutralizar los efectos de la intoxicación por venenos de animales ponzoñosos y se obtienen del plasma de equinos </w:t>
      </w:r>
      <w:proofErr w:type="spellStart"/>
      <w:r w:rsidRPr="00663B65">
        <w:rPr>
          <w:rFonts w:ascii="Arial" w:hAnsi="Arial" w:cs="Arial"/>
          <w:sz w:val="22"/>
          <w:szCs w:val="22"/>
        </w:rPr>
        <w:t>hiper</w:t>
      </w:r>
      <w:proofErr w:type="spellEnd"/>
      <w:r w:rsidRPr="00663B65">
        <w:rPr>
          <w:rFonts w:ascii="Arial" w:hAnsi="Arial" w:cs="Arial"/>
          <w:sz w:val="22"/>
          <w:szCs w:val="22"/>
        </w:rPr>
        <w:t xml:space="preserve">-inmunizados contra venenos de animales de importancia en salud pública. Los Faboterápicos son el único tratamiento específico </w:t>
      </w:r>
      <w:r w:rsidRPr="00CD7875">
        <w:rPr>
          <w:rFonts w:ascii="Arial" w:hAnsi="Arial" w:cs="Arial"/>
          <w:sz w:val="22"/>
          <w:szCs w:val="22"/>
        </w:rPr>
        <w:t>para el envenenamiento provocado por animales ponzoñ</w:t>
      </w:r>
      <w:r>
        <w:rPr>
          <w:rFonts w:ascii="Arial" w:hAnsi="Arial" w:cs="Arial"/>
          <w:sz w:val="22"/>
          <w:szCs w:val="22"/>
        </w:rPr>
        <w:t>osos (serpientes y alacranes). C</w:t>
      </w:r>
      <w:r w:rsidRPr="00CD7875">
        <w:rPr>
          <w:rFonts w:ascii="Arial" w:hAnsi="Arial" w:cs="Arial"/>
          <w:sz w:val="22"/>
          <w:szCs w:val="22"/>
        </w:rPr>
        <w:t xml:space="preserve">uando se administran a un paciente, neutralizan los venenos y le brindan inmunidad pasiva, neutralizando las toxinas </w:t>
      </w:r>
      <w:r w:rsidRPr="00CD7875">
        <w:rPr>
          <w:rFonts w:ascii="Arial" w:hAnsi="Arial" w:cs="Arial"/>
          <w:sz w:val="22"/>
          <w:szCs w:val="22"/>
        </w:rPr>
        <w:lastRenderedPageBreak/>
        <w:t xml:space="preserve">causantes del cuadro </w:t>
      </w:r>
      <w:proofErr w:type="spellStart"/>
      <w:r w:rsidRPr="00CD7875">
        <w:rPr>
          <w:rFonts w:ascii="Arial" w:hAnsi="Arial" w:cs="Arial"/>
          <w:sz w:val="22"/>
          <w:szCs w:val="22"/>
        </w:rPr>
        <w:t>sindromático</w:t>
      </w:r>
      <w:proofErr w:type="spellEnd"/>
      <w:r w:rsidRPr="00CD7875">
        <w:rPr>
          <w:rFonts w:ascii="Arial" w:hAnsi="Arial" w:cs="Arial"/>
          <w:sz w:val="22"/>
          <w:szCs w:val="22"/>
        </w:rPr>
        <w:t xml:space="preserve"> tóxico en humanos producidos por el veneno. </w:t>
      </w:r>
    </w:p>
    <w:p w:rsidR="00457CB8" w:rsidRDefault="00457CB8" w:rsidP="00457CB8">
      <w:pPr>
        <w:pStyle w:val="NormalWeb"/>
        <w:jc w:val="both"/>
        <w:rPr>
          <w:rFonts w:ascii="Arial" w:hAnsi="Arial" w:cs="Arial"/>
          <w:sz w:val="22"/>
          <w:szCs w:val="22"/>
        </w:rPr>
      </w:pPr>
    </w:p>
    <w:p w:rsidR="00457CB8" w:rsidRDefault="00457CB8" w:rsidP="00457CB8">
      <w:pPr>
        <w:pStyle w:val="NormalWeb"/>
        <w:jc w:val="center"/>
        <w:rPr>
          <w:rFonts w:ascii="Arial" w:hAnsi="Arial" w:cs="Arial"/>
          <w:sz w:val="22"/>
          <w:szCs w:val="22"/>
        </w:rPr>
      </w:pPr>
      <w:r>
        <w:rPr>
          <w:rFonts w:ascii="Arial" w:hAnsi="Arial" w:cs="Arial"/>
          <w:noProof/>
          <w:sz w:val="22"/>
          <w:szCs w:val="22"/>
          <w:lang w:val="es-419" w:eastAsia="es-419"/>
        </w:rPr>
        <w:drawing>
          <wp:inline distT="0" distB="0" distL="0" distR="0" wp14:anchorId="2D152B6E" wp14:editId="202FF447">
            <wp:extent cx="2203185" cy="1501253"/>
            <wp:effectExtent l="0" t="0" r="6985" b="3810"/>
            <wp:docPr id="22" name="Imagen 22" descr="C:\Users\auscangar\Documents\Fotos\FABOTERAPICOS\DSC01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auscangar\Documents\Fotos\FABOTERAPICOS\DSC01664.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09253" cy="1505388"/>
                    </a:xfrm>
                    <a:prstGeom prst="rect">
                      <a:avLst/>
                    </a:prstGeom>
                    <a:noFill/>
                    <a:ln>
                      <a:noFill/>
                    </a:ln>
                  </pic:spPr>
                </pic:pic>
              </a:graphicData>
            </a:graphic>
          </wp:inline>
        </w:drawing>
      </w:r>
      <w:r w:rsidRPr="00CD7875">
        <w:rPr>
          <w:rFonts w:ascii="Arial" w:hAnsi="Arial" w:cs="Arial"/>
          <w:sz w:val="22"/>
          <w:szCs w:val="22"/>
        </w:rPr>
        <w:t>.</w:t>
      </w:r>
      <w:r>
        <w:rPr>
          <w:rFonts w:ascii="Arial" w:hAnsi="Arial" w:cs="Arial"/>
          <w:noProof/>
          <w:sz w:val="22"/>
          <w:szCs w:val="22"/>
          <w:lang w:val="es-419" w:eastAsia="es-419"/>
        </w:rPr>
        <w:drawing>
          <wp:inline distT="0" distB="0" distL="0" distR="0" wp14:anchorId="6ABB0F0C" wp14:editId="253D3599">
            <wp:extent cx="2268855" cy="1043940"/>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8855" cy="1043940"/>
                    </a:xfrm>
                    <a:prstGeom prst="rect">
                      <a:avLst/>
                    </a:prstGeom>
                    <a:noFill/>
                    <a:ln>
                      <a:noFill/>
                    </a:ln>
                  </pic:spPr>
                </pic:pic>
              </a:graphicData>
            </a:graphic>
          </wp:inline>
        </w:drawing>
      </w:r>
    </w:p>
    <w:p w:rsidR="00457CB8" w:rsidRDefault="00457CB8" w:rsidP="00457CB8">
      <w:pPr>
        <w:pStyle w:val="NormalWeb"/>
        <w:jc w:val="both"/>
        <w:rPr>
          <w:rFonts w:ascii="Arial" w:hAnsi="Arial" w:cs="Arial"/>
          <w:sz w:val="22"/>
          <w:szCs w:val="22"/>
        </w:rPr>
      </w:pPr>
      <w:r>
        <w:rPr>
          <w:noProof/>
          <w:lang w:val="es-419" w:eastAsia="es-419"/>
        </w:rPr>
        <w:drawing>
          <wp:anchor distT="0" distB="0" distL="114300" distR="114300" simplePos="0" relativeHeight="251667456" behindDoc="0" locked="0" layoutInCell="1" allowOverlap="1" wp14:anchorId="383DFA2F" wp14:editId="3CB3C17B">
            <wp:simplePos x="0" y="0"/>
            <wp:positionH relativeFrom="column">
              <wp:posOffset>-31750</wp:posOffset>
            </wp:positionH>
            <wp:positionV relativeFrom="paragraph">
              <wp:posOffset>467360</wp:posOffset>
            </wp:positionV>
            <wp:extent cx="2095500" cy="2694305"/>
            <wp:effectExtent l="0" t="0" r="0" b="0"/>
            <wp:wrapSquare wrapText="bothSides"/>
            <wp:docPr id="28" name="Imagen 28" descr="C:\Users\auscangar\Documents\Fotos\FRACCIONAMIENTO\Digestor\DSC07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auscangar\Documents\Fotos\FRACCIONAMIENTO\Digestor\DSC07916.JPG"/>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40000" contrast="-20000"/>
                              </a14:imgEffect>
                            </a14:imgLayer>
                          </a14:imgProps>
                        </a:ext>
                        <a:ext uri="{28A0092B-C50C-407E-A947-70E740481C1C}">
                          <a14:useLocalDpi xmlns:a14="http://schemas.microsoft.com/office/drawing/2010/main" val="0"/>
                        </a:ext>
                      </a:extLst>
                    </a:blip>
                    <a:srcRect l="41559"/>
                    <a:stretch>
                      <a:fillRect/>
                    </a:stretch>
                  </pic:blipFill>
                  <pic:spPr bwMode="auto">
                    <a:xfrm>
                      <a:off x="0" y="0"/>
                      <a:ext cx="2095500" cy="2694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875">
        <w:rPr>
          <w:rFonts w:ascii="Arial" w:hAnsi="Arial" w:cs="Arial"/>
          <w:sz w:val="22"/>
          <w:szCs w:val="22"/>
        </w:rPr>
        <w:t xml:space="preserve">La producción de </w:t>
      </w:r>
      <w:proofErr w:type="spellStart"/>
      <w:r w:rsidRPr="00CD7875">
        <w:rPr>
          <w:rFonts w:ascii="Arial" w:hAnsi="Arial" w:cs="Arial"/>
          <w:sz w:val="22"/>
          <w:szCs w:val="22"/>
        </w:rPr>
        <w:t>faboterápicos</w:t>
      </w:r>
      <w:proofErr w:type="spellEnd"/>
      <w:r w:rsidRPr="00CD7875">
        <w:rPr>
          <w:rFonts w:ascii="Arial" w:hAnsi="Arial" w:cs="Arial"/>
          <w:sz w:val="22"/>
          <w:szCs w:val="22"/>
        </w:rPr>
        <w:t xml:space="preserve"> está basada en la inmunización de animales sanos </w:t>
      </w:r>
      <w:proofErr w:type="spellStart"/>
      <w:r w:rsidRPr="00CD7875">
        <w:rPr>
          <w:rFonts w:ascii="Arial" w:hAnsi="Arial" w:cs="Arial"/>
          <w:sz w:val="22"/>
          <w:szCs w:val="22"/>
        </w:rPr>
        <w:t>inmunocompetentes</w:t>
      </w:r>
      <w:proofErr w:type="spellEnd"/>
      <w:r w:rsidRPr="00CD7875">
        <w:rPr>
          <w:rFonts w:ascii="Arial" w:hAnsi="Arial" w:cs="Arial"/>
          <w:sz w:val="22"/>
          <w:szCs w:val="22"/>
        </w:rPr>
        <w:t xml:space="preserve"> con el veneno obtenido de una o más especies venenosas, causantes de cuadros </w:t>
      </w:r>
      <w:proofErr w:type="spellStart"/>
      <w:r w:rsidRPr="00CD7875">
        <w:rPr>
          <w:rFonts w:ascii="Arial" w:hAnsi="Arial" w:cs="Arial"/>
          <w:sz w:val="22"/>
          <w:szCs w:val="22"/>
        </w:rPr>
        <w:t>sindromáticos</w:t>
      </w:r>
      <w:proofErr w:type="spellEnd"/>
      <w:r w:rsidRPr="00CD7875">
        <w:rPr>
          <w:rFonts w:ascii="Arial" w:hAnsi="Arial" w:cs="Arial"/>
          <w:sz w:val="22"/>
          <w:szCs w:val="22"/>
        </w:rPr>
        <w:t xml:space="preserve"> tóxicos en humanos. Los anticuerpos producidos por los animales inmunizados son digeridos y separados del plasma a través de técnicas denominadas fraccionamiento y purificación, para obtener la molécula o principio activo denominado Fragmentos F(ab’)2, los cuales se envasan, liofilizan y posteriormente se acondicionan obteniendo la presentación del producto final. </w:t>
      </w:r>
    </w:p>
    <w:p w:rsidR="00457CB8" w:rsidRDefault="00457CB8" w:rsidP="00457CB8">
      <w:pPr>
        <w:pStyle w:val="NormalWeb"/>
        <w:jc w:val="both"/>
        <w:rPr>
          <w:rFonts w:ascii="Arial" w:hAnsi="Arial" w:cs="Arial"/>
          <w:sz w:val="22"/>
          <w:szCs w:val="22"/>
        </w:rPr>
      </w:pPr>
      <w:r>
        <w:rPr>
          <w:rFonts w:ascii="Arial" w:hAnsi="Arial" w:cs="Arial"/>
          <w:noProof/>
          <w:sz w:val="22"/>
          <w:szCs w:val="22"/>
          <w:lang w:val="es-419" w:eastAsia="es-419"/>
        </w:rPr>
        <w:drawing>
          <wp:inline distT="0" distB="0" distL="0" distR="0" wp14:anchorId="57124E72" wp14:editId="74583F2E">
            <wp:extent cx="2470245" cy="1197096"/>
            <wp:effectExtent l="0" t="0" r="635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rcRect b="29412"/>
                    <a:stretch/>
                  </pic:blipFill>
                  <pic:spPr bwMode="auto">
                    <a:xfrm>
                      <a:off x="0" y="0"/>
                      <a:ext cx="2480117" cy="1201880"/>
                    </a:xfrm>
                    <a:prstGeom prst="rect">
                      <a:avLst/>
                    </a:prstGeom>
                    <a:noFill/>
                    <a:ln>
                      <a:noFill/>
                    </a:ln>
                    <a:extLst>
                      <a:ext uri="{53640926-AAD7-44D8-BBD7-CCE9431645EC}">
                        <a14:shadowObscured xmlns:a14="http://schemas.microsoft.com/office/drawing/2010/main"/>
                      </a:ext>
                    </a:extLst>
                  </pic:spPr>
                </pic:pic>
              </a:graphicData>
            </a:graphic>
          </wp:inline>
        </w:drawing>
      </w:r>
    </w:p>
    <w:p w:rsidR="00457CB8" w:rsidRDefault="00457CB8" w:rsidP="00457CB8">
      <w:pPr>
        <w:pStyle w:val="NormalWeb"/>
        <w:jc w:val="both"/>
        <w:rPr>
          <w:rFonts w:ascii="Arial" w:hAnsi="Arial" w:cs="Arial"/>
          <w:sz w:val="22"/>
          <w:szCs w:val="22"/>
        </w:rPr>
      </w:pPr>
      <w:r w:rsidRPr="00CD7875">
        <w:rPr>
          <w:rFonts w:ascii="Arial" w:hAnsi="Arial" w:cs="Arial"/>
          <w:sz w:val="22"/>
          <w:szCs w:val="22"/>
        </w:rPr>
        <w:t xml:space="preserve">En general, los procedimientos industriales de fraccionamiento y purificación, deben evitar que los anticuerpos presentes en el plasma </w:t>
      </w:r>
      <w:proofErr w:type="spellStart"/>
      <w:r w:rsidRPr="00CD7875">
        <w:rPr>
          <w:rFonts w:ascii="Arial" w:hAnsi="Arial" w:cs="Arial"/>
          <w:sz w:val="22"/>
          <w:szCs w:val="22"/>
        </w:rPr>
        <w:t>hiperinmune</w:t>
      </w:r>
      <w:proofErr w:type="spellEnd"/>
      <w:r w:rsidRPr="00CD7875">
        <w:rPr>
          <w:rFonts w:ascii="Arial" w:hAnsi="Arial" w:cs="Arial"/>
          <w:sz w:val="22"/>
          <w:szCs w:val="22"/>
        </w:rPr>
        <w:t xml:space="preserve"> </w:t>
      </w:r>
      <w:r w:rsidRPr="00663B65">
        <w:rPr>
          <w:rFonts w:ascii="Arial" w:hAnsi="Arial" w:cs="Arial"/>
          <w:sz w:val="22"/>
          <w:szCs w:val="22"/>
        </w:rPr>
        <w:t xml:space="preserve">pierdan la capacidad de neutralizar las actividades tóxicas de los venenos o toxinas, aplicando los procedimientos de buenas prácticas de fabricación, establecidas en la NOM-059-SSA1-2015 </w:t>
      </w:r>
      <w:r w:rsidRPr="00663B65">
        <w:rPr>
          <w:rFonts w:ascii="Arial" w:hAnsi="Arial" w:cs="Arial"/>
          <w:i/>
          <w:sz w:val="22"/>
          <w:szCs w:val="22"/>
        </w:rPr>
        <w:t>buenas prácticas de fabricación de medicamentos</w:t>
      </w:r>
      <w:r w:rsidRPr="00663B65">
        <w:rPr>
          <w:rFonts w:ascii="Arial" w:hAnsi="Arial" w:cs="Arial"/>
          <w:sz w:val="22"/>
          <w:szCs w:val="22"/>
        </w:rPr>
        <w:t xml:space="preserve"> y cumplir con los requisitos establecidos en la Farmacopea</w:t>
      </w:r>
      <w:r>
        <w:rPr>
          <w:rFonts w:ascii="Arial" w:hAnsi="Arial" w:cs="Arial"/>
          <w:sz w:val="22"/>
          <w:szCs w:val="22"/>
        </w:rPr>
        <w:t xml:space="preserve"> </w:t>
      </w:r>
      <w:r w:rsidRPr="00CD7875">
        <w:rPr>
          <w:rFonts w:ascii="Arial" w:hAnsi="Arial" w:cs="Arial"/>
          <w:sz w:val="22"/>
          <w:szCs w:val="22"/>
        </w:rPr>
        <w:t>de los Estados Unidos Mexicanos establecidos en la monografía de sueros de origen animal.</w:t>
      </w:r>
    </w:p>
    <w:p w:rsidR="00457CB8" w:rsidRPr="00CD7875" w:rsidRDefault="00457CB8" w:rsidP="00457CB8">
      <w:pPr>
        <w:pStyle w:val="NormalWeb"/>
        <w:jc w:val="both"/>
        <w:rPr>
          <w:rFonts w:ascii="Arial" w:hAnsi="Arial" w:cs="Arial"/>
          <w:sz w:val="22"/>
          <w:szCs w:val="22"/>
        </w:rPr>
      </w:pPr>
      <w:r>
        <w:rPr>
          <w:noProof/>
          <w:lang w:val="es-419" w:eastAsia="es-419"/>
        </w:rPr>
        <w:drawing>
          <wp:anchor distT="0" distB="0" distL="114300" distR="114300" simplePos="0" relativeHeight="251669504" behindDoc="0" locked="0" layoutInCell="1" allowOverlap="1" wp14:anchorId="4A01C3F9" wp14:editId="40C80258">
            <wp:simplePos x="0" y="0"/>
            <wp:positionH relativeFrom="column">
              <wp:posOffset>2569902</wp:posOffset>
            </wp:positionH>
            <wp:positionV relativeFrom="paragraph">
              <wp:posOffset>149613</wp:posOffset>
            </wp:positionV>
            <wp:extent cx="2291715" cy="1019175"/>
            <wp:effectExtent l="0" t="0" r="0" b="952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171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875">
        <w:rPr>
          <w:rFonts w:ascii="Arial" w:hAnsi="Arial" w:cs="Arial"/>
          <w:sz w:val="22"/>
          <w:szCs w:val="22"/>
        </w:rPr>
        <w:t xml:space="preserve">    </w:t>
      </w:r>
      <w:r>
        <w:rPr>
          <w:rFonts w:ascii="Arial" w:hAnsi="Arial" w:cs="Arial"/>
          <w:noProof/>
          <w:sz w:val="22"/>
          <w:szCs w:val="22"/>
          <w:lang w:val="es-419" w:eastAsia="es-419"/>
        </w:rPr>
        <w:drawing>
          <wp:inline distT="0" distB="0" distL="0" distR="0" wp14:anchorId="540ED078" wp14:editId="57607804">
            <wp:extent cx="2214803" cy="1446663"/>
            <wp:effectExtent l="0" t="0" r="0" b="1270"/>
            <wp:docPr id="19" name="Imagen 19" descr="C:\Users\auscangar\Documents\Fotos\FABOTERAPICOS\DSC01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uscangar\Documents\Fotos\FABOTERAPICOS\DSC01668.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l="-1" r="-1" b="12785"/>
                    <a:stretch/>
                  </pic:blipFill>
                  <pic:spPr bwMode="auto">
                    <a:xfrm>
                      <a:off x="0" y="0"/>
                      <a:ext cx="2225400" cy="1453585"/>
                    </a:xfrm>
                    <a:prstGeom prst="rect">
                      <a:avLst/>
                    </a:prstGeom>
                    <a:noFill/>
                    <a:ln>
                      <a:noFill/>
                    </a:ln>
                    <a:extLst>
                      <a:ext uri="{53640926-AAD7-44D8-BBD7-CCE9431645EC}">
                        <a14:shadowObscured xmlns:a14="http://schemas.microsoft.com/office/drawing/2010/main"/>
                      </a:ext>
                    </a:extLst>
                  </pic:spPr>
                </pic:pic>
              </a:graphicData>
            </a:graphic>
          </wp:inline>
        </w:drawing>
      </w:r>
      <w:r w:rsidRPr="00CD7875">
        <w:rPr>
          <w:rFonts w:ascii="Arial" w:hAnsi="Arial" w:cs="Arial"/>
          <w:sz w:val="22"/>
          <w:szCs w:val="22"/>
        </w:rPr>
        <w:t xml:space="preserve">         </w:t>
      </w:r>
      <w:r>
        <w:rPr>
          <w:rFonts w:ascii="Arial" w:hAnsi="Arial" w:cs="Arial"/>
          <w:sz w:val="22"/>
          <w:szCs w:val="22"/>
        </w:rPr>
        <w:t xml:space="preserve">  </w:t>
      </w:r>
    </w:p>
    <w:p w:rsidR="00457CB8" w:rsidRPr="00663B65" w:rsidRDefault="00457CB8" w:rsidP="00457CB8">
      <w:pPr>
        <w:pStyle w:val="NormalWeb"/>
        <w:jc w:val="both"/>
        <w:rPr>
          <w:rFonts w:ascii="Arial" w:hAnsi="Arial" w:cs="Arial"/>
          <w:sz w:val="22"/>
          <w:szCs w:val="22"/>
        </w:rPr>
      </w:pPr>
      <w:r w:rsidRPr="00663B65">
        <w:rPr>
          <w:rFonts w:ascii="Arial" w:hAnsi="Arial" w:cs="Arial"/>
          <w:sz w:val="22"/>
          <w:szCs w:val="22"/>
        </w:rPr>
        <w:lastRenderedPageBreak/>
        <w:t xml:space="preserve">Los </w:t>
      </w:r>
      <w:proofErr w:type="spellStart"/>
      <w:r w:rsidRPr="00663B65">
        <w:rPr>
          <w:rFonts w:ascii="Arial" w:hAnsi="Arial" w:cs="Arial"/>
          <w:sz w:val="22"/>
          <w:szCs w:val="22"/>
        </w:rPr>
        <w:t>faboterápicos</w:t>
      </w:r>
      <w:proofErr w:type="spellEnd"/>
      <w:r w:rsidRPr="00663B65">
        <w:rPr>
          <w:rFonts w:ascii="Arial" w:hAnsi="Arial" w:cs="Arial"/>
          <w:sz w:val="22"/>
          <w:szCs w:val="22"/>
        </w:rPr>
        <w:t xml:space="preserve"> son productos seguros y cuentan con muy baja posibilidad de causar reacciones de hipersensibilidad, derivado que el principio activo son las fracciones F(ab’)2 y es eliminado del producto las fracciones </w:t>
      </w:r>
      <w:proofErr w:type="spellStart"/>
      <w:r w:rsidRPr="00663B65">
        <w:rPr>
          <w:rFonts w:ascii="Arial" w:hAnsi="Arial" w:cs="Arial"/>
          <w:sz w:val="22"/>
          <w:szCs w:val="22"/>
        </w:rPr>
        <w:t>Fc</w:t>
      </w:r>
      <w:proofErr w:type="spellEnd"/>
      <w:r w:rsidRPr="00663B65">
        <w:rPr>
          <w:rFonts w:ascii="Arial" w:hAnsi="Arial" w:cs="Arial"/>
          <w:sz w:val="22"/>
          <w:szCs w:val="22"/>
        </w:rPr>
        <w:t xml:space="preserve"> causantes de reacciones indeseables. México prese</w:t>
      </w:r>
      <w:r>
        <w:rPr>
          <w:rFonts w:ascii="Arial" w:hAnsi="Arial" w:cs="Arial"/>
          <w:sz w:val="22"/>
          <w:szCs w:val="22"/>
        </w:rPr>
        <w:t xml:space="preserve">nta aproximadamente de 300,000 </w:t>
      </w:r>
      <w:proofErr w:type="gramStart"/>
      <w:r w:rsidRPr="00663B65">
        <w:rPr>
          <w:rFonts w:ascii="Arial" w:hAnsi="Arial" w:cs="Arial"/>
          <w:sz w:val="22"/>
          <w:szCs w:val="22"/>
        </w:rPr>
        <w:t>a  350,000</w:t>
      </w:r>
      <w:proofErr w:type="gramEnd"/>
      <w:r w:rsidRPr="00663B65">
        <w:rPr>
          <w:rFonts w:ascii="Arial" w:hAnsi="Arial" w:cs="Arial"/>
          <w:sz w:val="22"/>
          <w:szCs w:val="22"/>
        </w:rPr>
        <w:t xml:space="preserve"> accidentes de picadura de alacrán por año, de las personas picadas por alacranes el único género de importancia médica en México son los alacranes del género </w:t>
      </w:r>
      <w:proofErr w:type="spellStart"/>
      <w:r w:rsidRPr="00663B65">
        <w:rPr>
          <w:rFonts w:ascii="Arial" w:hAnsi="Arial" w:cs="Arial"/>
          <w:i/>
          <w:sz w:val="22"/>
          <w:szCs w:val="22"/>
        </w:rPr>
        <w:t>Centruroides</w:t>
      </w:r>
      <w:proofErr w:type="spellEnd"/>
      <w:r w:rsidRPr="00663B65">
        <w:rPr>
          <w:rFonts w:ascii="Arial" w:hAnsi="Arial" w:cs="Arial"/>
          <w:i/>
          <w:sz w:val="22"/>
          <w:szCs w:val="22"/>
        </w:rPr>
        <w:t xml:space="preserve"> </w:t>
      </w:r>
      <w:proofErr w:type="spellStart"/>
      <w:r w:rsidRPr="00663B65">
        <w:rPr>
          <w:rFonts w:ascii="Arial" w:hAnsi="Arial" w:cs="Arial"/>
          <w:i/>
          <w:sz w:val="22"/>
          <w:szCs w:val="22"/>
        </w:rPr>
        <w:t>sp</w:t>
      </w:r>
      <w:proofErr w:type="spellEnd"/>
      <w:r w:rsidRPr="00663B65">
        <w:rPr>
          <w:rFonts w:ascii="Arial" w:hAnsi="Arial" w:cs="Arial"/>
          <w:i/>
          <w:sz w:val="22"/>
          <w:szCs w:val="22"/>
        </w:rPr>
        <w:t>.</w:t>
      </w:r>
      <w:r w:rsidRPr="00663B65">
        <w:rPr>
          <w:rFonts w:ascii="Arial" w:hAnsi="Arial" w:cs="Arial"/>
          <w:sz w:val="22"/>
          <w:szCs w:val="22"/>
        </w:rPr>
        <w:t xml:space="preserve"> Para el caso de las mordeduras de serpiente se reportan cada año alrededor de 3,500 a 4,000 accidentes en humanos de los cuales se ha encontrado una distribución del 44.9% de personas agredidas por cascabeles, </w:t>
      </w:r>
      <w:proofErr w:type="gramStart"/>
      <w:r w:rsidRPr="00663B65">
        <w:rPr>
          <w:rFonts w:ascii="Arial" w:hAnsi="Arial" w:cs="Arial"/>
          <w:sz w:val="22"/>
          <w:szCs w:val="22"/>
        </w:rPr>
        <w:t>el  42.8</w:t>
      </w:r>
      <w:proofErr w:type="gramEnd"/>
      <w:r w:rsidRPr="00663B65">
        <w:rPr>
          <w:rFonts w:ascii="Arial" w:hAnsi="Arial" w:cs="Arial"/>
          <w:sz w:val="22"/>
          <w:szCs w:val="22"/>
        </w:rPr>
        <w:t xml:space="preserve">% por </w:t>
      </w:r>
      <w:proofErr w:type="spellStart"/>
      <w:r w:rsidRPr="00663B65">
        <w:rPr>
          <w:rFonts w:ascii="Arial" w:hAnsi="Arial" w:cs="Arial"/>
          <w:sz w:val="22"/>
          <w:szCs w:val="22"/>
        </w:rPr>
        <w:t>nauyacas</w:t>
      </w:r>
      <w:proofErr w:type="spellEnd"/>
      <w:r w:rsidRPr="00663B65">
        <w:rPr>
          <w:rFonts w:ascii="Arial" w:hAnsi="Arial" w:cs="Arial"/>
          <w:sz w:val="22"/>
          <w:szCs w:val="22"/>
        </w:rPr>
        <w:t>, el 4% por corales, el 3.2% por otras especies y se ignora el dato en un 5.1%.</w:t>
      </w:r>
    </w:p>
    <w:p w:rsidR="00457CB8" w:rsidRPr="00CD7875" w:rsidRDefault="00457CB8" w:rsidP="00457CB8">
      <w:pPr>
        <w:pStyle w:val="NormalWeb"/>
        <w:jc w:val="both"/>
        <w:rPr>
          <w:rFonts w:ascii="Arial" w:hAnsi="Arial" w:cs="Arial"/>
          <w:sz w:val="22"/>
          <w:szCs w:val="22"/>
        </w:rPr>
      </w:pPr>
      <w:r w:rsidRPr="00663B65">
        <w:rPr>
          <w:rFonts w:ascii="Arial" w:hAnsi="Arial" w:cs="Arial"/>
          <w:sz w:val="22"/>
          <w:szCs w:val="22"/>
        </w:rPr>
        <w:t xml:space="preserve">BIRMEX cuenta con más de 80 años de experiencia en la fabricación de Sueros </w:t>
      </w:r>
      <w:proofErr w:type="spellStart"/>
      <w:r w:rsidRPr="00663B65">
        <w:rPr>
          <w:rFonts w:ascii="Arial" w:hAnsi="Arial" w:cs="Arial"/>
          <w:sz w:val="22"/>
          <w:szCs w:val="22"/>
        </w:rPr>
        <w:t>Hiperinmunes</w:t>
      </w:r>
      <w:proofErr w:type="spellEnd"/>
      <w:r w:rsidRPr="00663B65">
        <w:rPr>
          <w:rFonts w:ascii="Arial" w:hAnsi="Arial" w:cs="Arial"/>
          <w:sz w:val="22"/>
          <w:szCs w:val="22"/>
        </w:rPr>
        <w:t xml:space="preserve"> y con más de 30 años en la fabricación de Faboterápicos</w:t>
      </w:r>
      <w:r w:rsidRPr="00CD7875">
        <w:rPr>
          <w:rFonts w:ascii="Arial" w:hAnsi="Arial" w:cs="Arial"/>
          <w:sz w:val="22"/>
          <w:szCs w:val="22"/>
        </w:rPr>
        <w:t xml:space="preserve">, estos últimos son distribuidos al sector público y privado con la finalidad de atender </w:t>
      </w:r>
      <w:proofErr w:type="gramStart"/>
      <w:r w:rsidRPr="00CD7875">
        <w:rPr>
          <w:rFonts w:ascii="Arial" w:hAnsi="Arial" w:cs="Arial"/>
          <w:sz w:val="22"/>
          <w:szCs w:val="22"/>
        </w:rPr>
        <w:t>la necesidades</w:t>
      </w:r>
      <w:proofErr w:type="gramEnd"/>
      <w:r w:rsidRPr="00CD7875">
        <w:rPr>
          <w:rFonts w:ascii="Arial" w:hAnsi="Arial" w:cs="Arial"/>
          <w:sz w:val="22"/>
          <w:szCs w:val="22"/>
        </w:rPr>
        <w:t xml:space="preserve"> del sector salud.</w:t>
      </w:r>
    </w:p>
    <w:p w:rsidR="00457CB8" w:rsidRPr="00843B7A" w:rsidRDefault="00457CB8" w:rsidP="00457CB8">
      <w:pPr>
        <w:pStyle w:val="NormalWeb"/>
        <w:numPr>
          <w:ilvl w:val="0"/>
          <w:numId w:val="8"/>
        </w:numPr>
        <w:rPr>
          <w:rFonts w:ascii="Arial" w:eastAsiaTheme="minorHAnsi" w:hAnsi="Arial" w:cs="Arial"/>
          <w:b/>
          <w:color w:val="0070C0"/>
          <w:szCs w:val="22"/>
          <w:lang w:eastAsia="en-US"/>
        </w:rPr>
      </w:pPr>
      <w:r w:rsidRPr="00843B7A">
        <w:rPr>
          <w:rFonts w:ascii="Arial" w:eastAsiaTheme="minorHAnsi" w:hAnsi="Arial" w:cs="Arial"/>
          <w:b/>
          <w:color w:val="0070C0"/>
          <w:szCs w:val="22"/>
          <w:lang w:eastAsia="en-US"/>
        </w:rPr>
        <w:t>Vacuna  de Influenza</w:t>
      </w:r>
      <w:r>
        <w:rPr>
          <w:rStyle w:val="Refdenotaalpie"/>
          <w:rFonts w:ascii="Arial" w:eastAsiaTheme="minorHAnsi" w:hAnsi="Arial" w:cs="Arial"/>
          <w:b/>
          <w:color w:val="0070C0"/>
          <w:szCs w:val="22"/>
          <w:lang w:eastAsia="en-US"/>
        </w:rPr>
        <w:footnoteReference w:id="4"/>
      </w:r>
      <w:r w:rsidRPr="00843B7A">
        <w:rPr>
          <w:rFonts w:ascii="Arial" w:eastAsiaTheme="minorHAnsi" w:hAnsi="Arial" w:cs="Arial"/>
          <w:b/>
          <w:color w:val="0070C0"/>
          <w:szCs w:val="22"/>
          <w:lang w:eastAsia="en-US"/>
        </w:rPr>
        <w:t xml:space="preserve">  </w:t>
      </w:r>
    </w:p>
    <w:p w:rsidR="00457CB8" w:rsidRDefault="00457CB8" w:rsidP="00457CB8">
      <w:pPr>
        <w:jc w:val="both"/>
        <w:rPr>
          <w:rFonts w:ascii="Arial" w:hAnsi="Arial" w:cs="Arial"/>
        </w:rPr>
      </w:pPr>
      <w:r>
        <w:rPr>
          <w:noProof/>
          <w:lang w:val="es-419" w:eastAsia="es-419"/>
        </w:rPr>
        <w:drawing>
          <wp:anchor distT="0" distB="0" distL="114300" distR="114300" simplePos="0" relativeHeight="251670528" behindDoc="0" locked="0" layoutInCell="1" allowOverlap="1" wp14:anchorId="2AE904ED" wp14:editId="486EB8E9">
            <wp:simplePos x="0" y="0"/>
            <wp:positionH relativeFrom="column">
              <wp:posOffset>36195</wp:posOffset>
            </wp:positionH>
            <wp:positionV relativeFrom="paragraph">
              <wp:posOffset>86995</wp:posOffset>
            </wp:positionV>
            <wp:extent cx="3147060" cy="1911350"/>
            <wp:effectExtent l="0" t="0" r="0" b="0"/>
            <wp:wrapSquare wrapText="bothSides"/>
            <wp:docPr id="26" name="Imagen 26" descr="DSC0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4325"/>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47060" cy="191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CB8" w:rsidRPr="00663B65" w:rsidRDefault="00457CB8" w:rsidP="00457CB8">
      <w:pPr>
        <w:jc w:val="both"/>
        <w:rPr>
          <w:rFonts w:ascii="Arial" w:hAnsi="Arial" w:cs="Arial"/>
        </w:rPr>
      </w:pPr>
      <w:r w:rsidRPr="007B34A0">
        <w:rPr>
          <w:rFonts w:ascii="Arial" w:hAnsi="Arial" w:cs="Arial"/>
          <w:sz w:val="22"/>
          <w:szCs w:val="22"/>
        </w:rPr>
        <w:t>Ante la aparición del virus de influenza aviar A-H5N1 en Asia, África y Europa y al hecho de que esta enfermedad puede ser transmitida a los seres humanos, se declaró un estado de alerta en todo el mundo</w:t>
      </w:r>
      <w:r w:rsidRPr="00663B65">
        <w:rPr>
          <w:rFonts w:ascii="Arial" w:hAnsi="Arial" w:cs="Arial"/>
        </w:rPr>
        <w:t xml:space="preserve">.  </w:t>
      </w:r>
    </w:p>
    <w:p w:rsidR="00457CB8" w:rsidRDefault="00457CB8" w:rsidP="00457CB8">
      <w:pPr>
        <w:jc w:val="both"/>
        <w:rPr>
          <w:rFonts w:ascii="Arial" w:hAnsi="Arial" w:cs="Arial"/>
        </w:rPr>
      </w:pPr>
    </w:p>
    <w:p w:rsidR="00457CB8" w:rsidRPr="007B34A0" w:rsidRDefault="00457CB8" w:rsidP="00457CB8">
      <w:pPr>
        <w:jc w:val="both"/>
        <w:rPr>
          <w:rFonts w:ascii="Arial" w:hAnsi="Arial" w:cs="Arial"/>
          <w:sz w:val="22"/>
          <w:szCs w:val="22"/>
        </w:rPr>
      </w:pPr>
      <w:r w:rsidRPr="007B34A0">
        <w:rPr>
          <w:rFonts w:ascii="Arial" w:hAnsi="Arial" w:cs="Arial"/>
          <w:sz w:val="22"/>
          <w:szCs w:val="22"/>
        </w:rPr>
        <w:t>La respuesta mundial a dicha alerta encabezada por la OMS incluyó medidas preventivas de vigilancia con gran participación social, a través de la instrumentación de Planes Nacionales de Emergencia contra la Influenza.</w:t>
      </w:r>
    </w:p>
    <w:p w:rsidR="00457CB8" w:rsidRPr="007B34A0" w:rsidRDefault="00457CB8" w:rsidP="00457CB8">
      <w:pPr>
        <w:jc w:val="both"/>
        <w:rPr>
          <w:rFonts w:ascii="Arial" w:hAnsi="Arial" w:cs="Arial"/>
          <w:sz w:val="22"/>
          <w:szCs w:val="22"/>
        </w:rPr>
      </w:pPr>
    </w:p>
    <w:p w:rsidR="00457CB8" w:rsidRPr="007B34A0" w:rsidRDefault="00457CB8" w:rsidP="00457CB8">
      <w:pPr>
        <w:jc w:val="both"/>
        <w:rPr>
          <w:rFonts w:ascii="Arial" w:hAnsi="Arial" w:cs="Arial"/>
          <w:sz w:val="22"/>
          <w:szCs w:val="22"/>
          <w:lang w:val="es-ES"/>
        </w:rPr>
      </w:pPr>
      <w:r w:rsidRPr="007B34A0">
        <w:rPr>
          <w:rFonts w:ascii="Arial" w:hAnsi="Arial" w:cs="Arial"/>
          <w:sz w:val="22"/>
          <w:szCs w:val="22"/>
        </w:rPr>
        <w:t>Esta serie de eventos generó en México una respuesta inmediata a nivel gubernamental y social, para lo cual se</w:t>
      </w:r>
      <w:r w:rsidRPr="007B34A0">
        <w:rPr>
          <w:rFonts w:ascii="Arial" w:hAnsi="Arial" w:cs="Arial"/>
          <w:sz w:val="22"/>
          <w:szCs w:val="22"/>
          <w:lang w:val="es-ES"/>
        </w:rPr>
        <w:t xml:space="preserve"> desarrolló el Plan Nacional de Preparación y Respuesta ante una Pandemia de Influenza, cuyo objetivo fue reducir el impacto de una pandemia de influenza y optimizar los recursos para la preparación y planes de acción.</w:t>
      </w:r>
    </w:p>
    <w:p w:rsidR="00457CB8" w:rsidRPr="007B34A0" w:rsidRDefault="00457CB8" w:rsidP="00457CB8">
      <w:pPr>
        <w:jc w:val="both"/>
        <w:rPr>
          <w:rFonts w:ascii="Arial" w:hAnsi="Arial" w:cs="Arial"/>
          <w:sz w:val="22"/>
          <w:szCs w:val="22"/>
          <w:lang w:val="es-ES"/>
        </w:rPr>
      </w:pPr>
      <w:r w:rsidRPr="007B34A0">
        <w:rPr>
          <w:rFonts w:ascii="Arial" w:hAnsi="Arial" w:cs="Arial"/>
          <w:sz w:val="22"/>
          <w:szCs w:val="22"/>
          <w:lang w:val="es-ES"/>
        </w:rPr>
        <w:t>En dicho plan se describieron cuatro líneas principales de acción:</w:t>
      </w:r>
    </w:p>
    <w:p w:rsidR="00457CB8" w:rsidRDefault="00457CB8" w:rsidP="00457CB8">
      <w:pPr>
        <w:jc w:val="both"/>
        <w:rPr>
          <w:rFonts w:ascii="Arial" w:hAnsi="Arial" w:cs="Arial"/>
          <w:lang w:val="es-ES"/>
        </w:rPr>
      </w:pPr>
    </w:p>
    <w:p w:rsidR="00457CB8" w:rsidRPr="00E45C52" w:rsidRDefault="00457CB8" w:rsidP="00457CB8">
      <w:pPr>
        <w:numPr>
          <w:ilvl w:val="0"/>
          <w:numId w:val="7"/>
        </w:numPr>
        <w:jc w:val="both"/>
        <w:rPr>
          <w:rFonts w:ascii="Arial" w:hAnsi="Arial" w:cs="Arial"/>
          <w:lang w:val="es-ES"/>
        </w:rPr>
      </w:pPr>
      <w:r w:rsidRPr="00E45C52">
        <w:rPr>
          <w:rFonts w:ascii="Arial" w:hAnsi="Arial" w:cs="Arial"/>
          <w:lang w:val="es-ES"/>
        </w:rPr>
        <w:t>Coordinar acciones entre las diversas instituciones del sector salud</w:t>
      </w:r>
    </w:p>
    <w:p w:rsidR="00457CB8" w:rsidRPr="00E45C52" w:rsidRDefault="00457CB8" w:rsidP="00457CB8">
      <w:pPr>
        <w:numPr>
          <w:ilvl w:val="0"/>
          <w:numId w:val="7"/>
        </w:numPr>
        <w:jc w:val="both"/>
        <w:rPr>
          <w:rFonts w:ascii="Arial" w:hAnsi="Arial" w:cs="Arial"/>
          <w:lang w:val="es-ES"/>
        </w:rPr>
      </w:pPr>
      <w:r w:rsidRPr="00E45C52">
        <w:rPr>
          <w:rFonts w:ascii="Arial" w:hAnsi="Arial" w:cs="Arial"/>
          <w:lang w:val="es-ES"/>
        </w:rPr>
        <w:t xml:space="preserve">Mejorar la vigilancia epidemiológica y la identificación de los virus circulantes </w:t>
      </w:r>
    </w:p>
    <w:p w:rsidR="00457CB8" w:rsidRPr="00E45C52" w:rsidRDefault="00457CB8" w:rsidP="00457CB8">
      <w:pPr>
        <w:numPr>
          <w:ilvl w:val="0"/>
          <w:numId w:val="7"/>
        </w:numPr>
        <w:jc w:val="both"/>
        <w:rPr>
          <w:rFonts w:ascii="Arial" w:hAnsi="Arial" w:cs="Arial"/>
          <w:lang w:val="es-ES"/>
        </w:rPr>
      </w:pPr>
      <w:r w:rsidRPr="00E45C52">
        <w:rPr>
          <w:rFonts w:ascii="Arial" w:hAnsi="Arial" w:cs="Arial"/>
          <w:lang w:val="es-ES"/>
        </w:rPr>
        <w:t>Mejorar los servicios Médicos de atención al paciente</w:t>
      </w:r>
    </w:p>
    <w:p w:rsidR="00457CB8" w:rsidRPr="00E45C52" w:rsidRDefault="00457CB8" w:rsidP="00457CB8">
      <w:pPr>
        <w:numPr>
          <w:ilvl w:val="0"/>
          <w:numId w:val="7"/>
        </w:numPr>
        <w:jc w:val="both"/>
        <w:rPr>
          <w:rFonts w:ascii="Arial" w:hAnsi="Arial" w:cs="Arial"/>
          <w:lang w:val="es-ES"/>
        </w:rPr>
      </w:pPr>
      <w:r w:rsidRPr="00E45C52">
        <w:rPr>
          <w:rFonts w:ascii="Arial" w:hAnsi="Arial" w:cs="Arial"/>
          <w:lang w:val="es-ES"/>
        </w:rPr>
        <w:t xml:space="preserve">Garantizar el abasto de Vacunas tanto estacional a nivel Nacional como pandémica y consolidar la producción nacional de la misma. Se incluye a la vacuna contra la influenza en el plan nacional de vacunación y se establecen campañas anuales de aplicación de la misma. </w:t>
      </w:r>
    </w:p>
    <w:p w:rsidR="00457CB8" w:rsidRPr="00E162EB" w:rsidRDefault="00457CB8" w:rsidP="00457CB8">
      <w:pPr>
        <w:ind w:left="720"/>
        <w:jc w:val="both"/>
        <w:rPr>
          <w:rFonts w:ascii="Arial" w:hAnsi="Arial" w:cs="Arial"/>
          <w:lang w:val="es-ES"/>
        </w:rPr>
      </w:pPr>
    </w:p>
    <w:p w:rsidR="00457CB8" w:rsidRPr="007B34A0" w:rsidRDefault="00457CB8" w:rsidP="00457CB8">
      <w:pPr>
        <w:jc w:val="both"/>
        <w:rPr>
          <w:rFonts w:ascii="Arial" w:hAnsi="Arial" w:cs="Arial"/>
          <w:sz w:val="22"/>
          <w:szCs w:val="22"/>
        </w:rPr>
      </w:pPr>
      <w:r w:rsidRPr="007B34A0">
        <w:rPr>
          <w:rFonts w:ascii="Arial" w:hAnsi="Arial" w:cs="Arial"/>
          <w:noProof/>
          <w:sz w:val="22"/>
          <w:szCs w:val="22"/>
          <w:lang w:val="es-419" w:eastAsia="es-419"/>
        </w:rPr>
        <w:lastRenderedPageBreak/>
        <w:drawing>
          <wp:anchor distT="0" distB="0" distL="114300" distR="114300" simplePos="0" relativeHeight="251671552" behindDoc="0" locked="0" layoutInCell="1" allowOverlap="1" wp14:anchorId="5AB8A10E" wp14:editId="78076AD4">
            <wp:simplePos x="0" y="0"/>
            <wp:positionH relativeFrom="column">
              <wp:posOffset>139065</wp:posOffset>
            </wp:positionH>
            <wp:positionV relativeFrom="paragraph">
              <wp:posOffset>18415</wp:posOffset>
            </wp:positionV>
            <wp:extent cx="2533650" cy="1695450"/>
            <wp:effectExtent l="0" t="0" r="0" b="0"/>
            <wp:wrapSquare wrapText="bothSides"/>
            <wp:docPr id="25" name="Imagen 25" descr="DSC0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41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336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4A0">
        <w:rPr>
          <w:rFonts w:ascii="Arial" w:hAnsi="Arial" w:cs="Arial"/>
          <w:sz w:val="22"/>
          <w:szCs w:val="22"/>
        </w:rPr>
        <w:t>Ante la evidencia obtenida en estudios controlados y en la aplicación masiva de la vacuna donde se demuestra que la respuesta inmunológica de la población no alcanzaba niveles superiores al 80%, y la inmunidad que proporcionaba no era duradera; se concluyó que era necesaria la revacunación con al menos una periodicidad anual, una vez que la OMS identificara los tipos de virus estaciónales.</w:t>
      </w:r>
    </w:p>
    <w:p w:rsidR="00457CB8" w:rsidRPr="007B34A0" w:rsidRDefault="00457CB8" w:rsidP="00457CB8">
      <w:pPr>
        <w:jc w:val="both"/>
        <w:rPr>
          <w:rFonts w:ascii="Arial" w:hAnsi="Arial" w:cs="Arial"/>
          <w:sz w:val="22"/>
          <w:szCs w:val="22"/>
          <w:lang w:val="es-ES"/>
        </w:rPr>
      </w:pPr>
      <w:r w:rsidRPr="007B34A0">
        <w:rPr>
          <w:rFonts w:ascii="Arial" w:hAnsi="Arial" w:cs="Arial"/>
          <w:sz w:val="22"/>
          <w:szCs w:val="22"/>
        </w:rPr>
        <w:t xml:space="preserve">En atención al </w:t>
      </w:r>
      <w:r w:rsidRPr="007B34A0">
        <w:rPr>
          <w:rFonts w:ascii="Arial" w:hAnsi="Arial" w:cs="Arial"/>
          <w:sz w:val="22"/>
          <w:szCs w:val="22"/>
          <w:lang w:val="es-ES"/>
        </w:rPr>
        <w:t xml:space="preserve">Plan Nacional de Preparación y Respuesta ante una Pandemia de Influenza, en el año 2004 se incluyó en el plan nacional de vacunación la </w:t>
      </w:r>
      <w:r w:rsidRPr="007B34A0">
        <w:rPr>
          <w:rFonts w:ascii="Arial" w:hAnsi="Arial" w:cs="Arial"/>
          <w:sz w:val="22"/>
          <w:szCs w:val="22"/>
          <w:lang w:val="es-ES_tradnl"/>
        </w:rPr>
        <w:t xml:space="preserve">Vacuna </w:t>
      </w:r>
      <w:proofErr w:type="spellStart"/>
      <w:r w:rsidRPr="007B34A0">
        <w:rPr>
          <w:rFonts w:ascii="Arial" w:hAnsi="Arial" w:cs="Arial"/>
          <w:sz w:val="22"/>
          <w:szCs w:val="22"/>
          <w:lang w:val="es-ES_tradnl"/>
        </w:rPr>
        <w:t>Antiinfluenza</w:t>
      </w:r>
      <w:proofErr w:type="spellEnd"/>
      <w:r w:rsidRPr="007B34A0">
        <w:rPr>
          <w:rFonts w:ascii="Arial" w:hAnsi="Arial" w:cs="Arial"/>
          <w:sz w:val="22"/>
          <w:szCs w:val="22"/>
          <w:lang w:val="es-ES_tradnl"/>
        </w:rPr>
        <w:t xml:space="preserve"> Trivalente que contiene los serotipos A y B</w:t>
      </w:r>
      <w:r w:rsidRPr="007B34A0">
        <w:rPr>
          <w:rFonts w:ascii="Arial" w:hAnsi="Arial" w:cs="Arial"/>
          <w:sz w:val="22"/>
          <w:szCs w:val="22"/>
          <w:lang w:val="es-ES"/>
        </w:rPr>
        <w:t xml:space="preserve"> y se establecen campañas anuales de aplicación de la misma. </w:t>
      </w:r>
    </w:p>
    <w:p w:rsidR="00457CB8" w:rsidRPr="007B34A0" w:rsidRDefault="00457CB8" w:rsidP="00457CB8">
      <w:pPr>
        <w:jc w:val="both"/>
        <w:rPr>
          <w:rFonts w:ascii="Arial" w:hAnsi="Arial" w:cs="Arial"/>
          <w:sz w:val="22"/>
          <w:szCs w:val="22"/>
        </w:rPr>
      </w:pPr>
      <w:r w:rsidRPr="007B34A0">
        <w:rPr>
          <w:noProof/>
          <w:sz w:val="22"/>
          <w:szCs w:val="22"/>
          <w:lang w:val="es-419" w:eastAsia="es-419"/>
        </w:rPr>
        <w:drawing>
          <wp:anchor distT="0" distB="0" distL="114300" distR="114300" simplePos="0" relativeHeight="251672576" behindDoc="0" locked="0" layoutInCell="1" allowOverlap="1" wp14:anchorId="4F9A3190" wp14:editId="696C468A">
            <wp:simplePos x="0" y="0"/>
            <wp:positionH relativeFrom="column">
              <wp:posOffset>-3810</wp:posOffset>
            </wp:positionH>
            <wp:positionV relativeFrom="paragraph">
              <wp:posOffset>2540</wp:posOffset>
            </wp:positionV>
            <wp:extent cx="2581275" cy="1724025"/>
            <wp:effectExtent l="0" t="0" r="9525" b="9525"/>
            <wp:wrapSquare wrapText="bothSides"/>
            <wp:docPr id="24" name="Imagen 24" descr="DSC0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425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8127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4A0">
        <w:rPr>
          <w:rFonts w:ascii="Arial" w:hAnsi="Arial" w:cs="Arial"/>
          <w:sz w:val="22"/>
          <w:szCs w:val="22"/>
        </w:rPr>
        <w:t>BIRMEX a través de la Asociación Público Privada suscrita con la empresa Sanofi Pasteur lleva a cabo la producción secundaria (etiquetado y acondicionamiento) de la vacuna trivalente de influenza en el Instituto Nacional de Higiene.</w:t>
      </w:r>
    </w:p>
    <w:p w:rsidR="00457CB8" w:rsidRPr="00A60B4A" w:rsidRDefault="00457CB8" w:rsidP="00457CB8">
      <w:pPr>
        <w:pStyle w:val="NormalWeb"/>
        <w:jc w:val="both"/>
        <w:rPr>
          <w:rFonts w:ascii="Arial" w:hAnsi="Arial" w:cs="Arial"/>
          <w:sz w:val="22"/>
          <w:szCs w:val="22"/>
        </w:rPr>
      </w:pPr>
      <w:r w:rsidRPr="00A60B4A">
        <w:rPr>
          <w:rFonts w:ascii="Arial" w:hAnsi="Arial" w:cs="Arial"/>
          <w:sz w:val="22"/>
          <w:szCs w:val="22"/>
        </w:rPr>
        <w:t>La vacuna proveniente de las plantas de Sanofi Pasteur se recibe en viales con o sin etiqueta y se procesan en la línea de acondicionamiento automático, en apego a la Norma Ofi</w:t>
      </w:r>
      <w:r>
        <w:rPr>
          <w:rFonts w:ascii="Arial" w:hAnsi="Arial" w:cs="Arial"/>
          <w:sz w:val="22"/>
          <w:szCs w:val="22"/>
        </w:rPr>
        <w:t>cial Mexicana (NOM-059-SSA1-201</w:t>
      </w:r>
      <w:r w:rsidRPr="007B34A0">
        <w:rPr>
          <w:rFonts w:ascii="Arial" w:hAnsi="Arial" w:cs="Arial"/>
          <w:color w:val="000000" w:themeColor="text1"/>
          <w:sz w:val="22"/>
          <w:szCs w:val="22"/>
        </w:rPr>
        <w:t>5</w:t>
      </w:r>
      <w:r w:rsidRPr="00A60B4A">
        <w:rPr>
          <w:rFonts w:ascii="Arial" w:hAnsi="Arial" w:cs="Arial"/>
          <w:sz w:val="22"/>
          <w:szCs w:val="22"/>
        </w:rPr>
        <w:t xml:space="preserve"> </w:t>
      </w:r>
      <w:r w:rsidRPr="00A60B4A">
        <w:rPr>
          <w:rFonts w:ascii="Arial" w:hAnsi="Arial" w:cs="Arial"/>
          <w:i/>
          <w:sz w:val="22"/>
          <w:szCs w:val="22"/>
        </w:rPr>
        <w:t>buenas prácticas de fabricación de medicamentos</w:t>
      </w:r>
      <w:r w:rsidRPr="00A60B4A">
        <w:rPr>
          <w:rFonts w:ascii="Arial" w:hAnsi="Arial" w:cs="Arial"/>
          <w:sz w:val="22"/>
          <w:szCs w:val="22"/>
        </w:rPr>
        <w:t xml:space="preserve">). El acondicionamiento de la vacuna </w:t>
      </w:r>
      <w:r>
        <w:rPr>
          <w:rFonts w:ascii="Arial" w:hAnsi="Arial" w:cs="Arial"/>
          <w:sz w:val="22"/>
          <w:szCs w:val="22"/>
        </w:rPr>
        <w:t xml:space="preserve">en el envase secundario </w:t>
      </w:r>
      <w:r w:rsidRPr="00A60B4A">
        <w:rPr>
          <w:rFonts w:ascii="Arial" w:hAnsi="Arial" w:cs="Arial"/>
          <w:sz w:val="22"/>
          <w:szCs w:val="22"/>
        </w:rPr>
        <w:t xml:space="preserve">con 10 frascos de 10 dosis cada uno. </w:t>
      </w:r>
      <w:r>
        <w:rPr>
          <w:rFonts w:ascii="Arial" w:hAnsi="Arial" w:cs="Arial"/>
          <w:sz w:val="22"/>
          <w:szCs w:val="22"/>
        </w:rPr>
        <w:t xml:space="preserve"> </w:t>
      </w:r>
    </w:p>
    <w:p w:rsidR="00457CB8" w:rsidRPr="00A60B4A" w:rsidRDefault="00457CB8" w:rsidP="00457CB8">
      <w:pPr>
        <w:pStyle w:val="NormalWeb"/>
        <w:jc w:val="both"/>
        <w:rPr>
          <w:rFonts w:ascii="Arial" w:hAnsi="Arial" w:cs="Arial"/>
          <w:sz w:val="22"/>
          <w:szCs w:val="22"/>
        </w:rPr>
      </w:pPr>
      <w:bookmarkStart w:id="0" w:name="_GoBack"/>
      <w:bookmarkEnd w:id="0"/>
    </w:p>
    <w:p w:rsidR="00457CB8" w:rsidRDefault="00457CB8" w:rsidP="00457CB8">
      <w:pPr>
        <w:pStyle w:val="NormalWeb"/>
        <w:jc w:val="center"/>
        <w:rPr>
          <w:rFonts w:ascii="Arial" w:hAnsi="Arial" w:cs="Arial"/>
          <w:sz w:val="22"/>
          <w:szCs w:val="22"/>
        </w:rPr>
      </w:pPr>
      <w:r>
        <w:rPr>
          <w:rFonts w:ascii="Arial" w:hAnsi="Arial" w:cs="Arial"/>
          <w:noProof/>
          <w:sz w:val="22"/>
          <w:szCs w:val="22"/>
          <w:lang w:val="es-419" w:eastAsia="es-419"/>
        </w:rPr>
        <w:drawing>
          <wp:inline distT="0" distB="0" distL="0" distR="0" wp14:anchorId="6E7AB918" wp14:editId="751BB1BF">
            <wp:extent cx="3036570" cy="2035810"/>
            <wp:effectExtent l="0" t="0" r="0" b="2540"/>
            <wp:docPr id="18" name="Imagen 18" descr="DSC0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4167"/>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36570" cy="2035810"/>
                    </a:xfrm>
                    <a:prstGeom prst="rect">
                      <a:avLst/>
                    </a:prstGeom>
                    <a:noFill/>
                    <a:ln>
                      <a:noFill/>
                    </a:ln>
                  </pic:spPr>
                </pic:pic>
              </a:graphicData>
            </a:graphic>
          </wp:inline>
        </w:drawing>
      </w:r>
    </w:p>
    <w:p w:rsidR="00457CB8" w:rsidRPr="0063776A" w:rsidRDefault="00457CB8" w:rsidP="00457CB8">
      <w:pPr>
        <w:pStyle w:val="Default"/>
        <w:jc w:val="both"/>
        <w:rPr>
          <w:rFonts w:ascii="Arial" w:hAnsi="Arial" w:cs="Arial"/>
          <w:color w:val="auto"/>
          <w:sz w:val="22"/>
          <w:szCs w:val="22"/>
        </w:rPr>
      </w:pPr>
    </w:p>
    <w:p w:rsidR="00457CB8" w:rsidRDefault="00457CB8" w:rsidP="00457CB8">
      <w:pPr>
        <w:pStyle w:val="Default"/>
        <w:jc w:val="both"/>
        <w:rPr>
          <w:rFonts w:ascii="Arial" w:hAnsi="Arial" w:cs="Arial"/>
          <w:color w:val="auto"/>
          <w:sz w:val="22"/>
          <w:szCs w:val="22"/>
        </w:rPr>
      </w:pPr>
      <w:r>
        <w:rPr>
          <w:rFonts w:ascii="Arial" w:hAnsi="Arial" w:cs="Arial"/>
          <w:i/>
          <w:iCs/>
          <w:sz w:val="22"/>
          <w:szCs w:val="22"/>
        </w:rPr>
        <w:t>C</w:t>
      </w:r>
      <w:r w:rsidRPr="0063776A">
        <w:rPr>
          <w:rFonts w:ascii="Arial" w:hAnsi="Arial" w:cs="Arial"/>
          <w:color w:val="auto"/>
          <w:sz w:val="22"/>
          <w:szCs w:val="22"/>
        </w:rPr>
        <w:t>on estos productos</w:t>
      </w:r>
      <w:r w:rsidRPr="00663B65">
        <w:rPr>
          <w:rFonts w:ascii="Arial" w:hAnsi="Arial" w:cs="Arial"/>
          <w:color w:val="auto"/>
          <w:sz w:val="22"/>
          <w:szCs w:val="22"/>
        </w:rPr>
        <w:t xml:space="preserve">, BIRMEX participa de manera importante en el cuidado a la salud de los mexicanos a través de los programas de vacunación y atención a la salud realizados durante el año. </w:t>
      </w:r>
    </w:p>
    <w:p w:rsidR="00457CB8" w:rsidRPr="00663B65" w:rsidRDefault="00457CB8" w:rsidP="00457CB8">
      <w:pPr>
        <w:pStyle w:val="Default"/>
        <w:jc w:val="both"/>
        <w:rPr>
          <w:rFonts w:ascii="Arial" w:hAnsi="Arial" w:cs="Arial"/>
          <w:color w:val="auto"/>
          <w:sz w:val="22"/>
          <w:szCs w:val="22"/>
        </w:rPr>
      </w:pPr>
    </w:p>
    <w:p w:rsidR="00457CB8" w:rsidRDefault="00457CB8" w:rsidP="00457CB8">
      <w:pPr>
        <w:pStyle w:val="Default"/>
        <w:jc w:val="both"/>
        <w:rPr>
          <w:rFonts w:ascii="Arial" w:hAnsi="Arial" w:cs="Arial"/>
          <w:color w:val="auto"/>
          <w:sz w:val="22"/>
          <w:szCs w:val="22"/>
        </w:rPr>
      </w:pPr>
      <w:r w:rsidRPr="00663B65">
        <w:rPr>
          <w:rFonts w:ascii="Arial" w:hAnsi="Arial" w:cs="Arial"/>
          <w:color w:val="auto"/>
          <w:sz w:val="22"/>
          <w:szCs w:val="22"/>
        </w:rPr>
        <w:t xml:space="preserve">A través de su </w:t>
      </w:r>
      <w:r w:rsidRPr="00663B65">
        <w:rPr>
          <w:rFonts w:ascii="Arial" w:hAnsi="Arial" w:cs="Arial"/>
          <w:iCs/>
          <w:color w:val="auto"/>
          <w:sz w:val="22"/>
          <w:szCs w:val="22"/>
        </w:rPr>
        <w:t xml:space="preserve">área de investigación y desarrollo lleva a cabo diversos </w:t>
      </w:r>
      <w:r w:rsidRPr="0089439F">
        <w:rPr>
          <w:rFonts w:ascii="Arial" w:hAnsi="Arial" w:cs="Arial"/>
          <w:iCs/>
          <w:color w:val="auto"/>
          <w:sz w:val="22"/>
          <w:szCs w:val="22"/>
        </w:rPr>
        <w:t xml:space="preserve">proyectos encaminados a la </w:t>
      </w:r>
      <w:r w:rsidRPr="0089439F">
        <w:rPr>
          <w:rFonts w:ascii="Arial" w:hAnsi="Arial" w:cs="Arial"/>
          <w:bCs/>
          <w:iCs/>
          <w:color w:val="auto"/>
          <w:sz w:val="22"/>
          <w:szCs w:val="22"/>
        </w:rPr>
        <w:t xml:space="preserve">mejora de sus productos o procesos actuales y al desarrollo de productos nuevos, </w:t>
      </w:r>
      <w:r>
        <w:rPr>
          <w:rFonts w:ascii="Arial" w:hAnsi="Arial" w:cs="Arial"/>
          <w:bCs/>
          <w:iCs/>
          <w:color w:val="auto"/>
          <w:sz w:val="22"/>
          <w:szCs w:val="22"/>
        </w:rPr>
        <w:t>ya sea de</w:t>
      </w:r>
      <w:r w:rsidRPr="0089439F">
        <w:rPr>
          <w:rFonts w:ascii="Arial" w:hAnsi="Arial" w:cs="Arial"/>
          <w:bCs/>
          <w:iCs/>
          <w:color w:val="auto"/>
          <w:sz w:val="22"/>
          <w:szCs w:val="22"/>
        </w:rPr>
        <w:t xml:space="preserve"> desarrollo propio o mediante la vinculación científica y académica </w:t>
      </w:r>
      <w:r>
        <w:rPr>
          <w:rFonts w:ascii="Arial" w:hAnsi="Arial" w:cs="Arial"/>
          <w:bCs/>
          <w:iCs/>
          <w:color w:val="auto"/>
          <w:sz w:val="22"/>
          <w:szCs w:val="22"/>
        </w:rPr>
        <w:t xml:space="preserve">buscando </w:t>
      </w:r>
      <w:r w:rsidRPr="0089439F">
        <w:rPr>
          <w:rFonts w:ascii="Arial" w:hAnsi="Arial" w:cs="Arial"/>
          <w:color w:val="auto"/>
          <w:sz w:val="22"/>
          <w:szCs w:val="22"/>
        </w:rPr>
        <w:t>proyecta</w:t>
      </w:r>
      <w:r>
        <w:rPr>
          <w:rFonts w:ascii="Arial" w:hAnsi="Arial" w:cs="Arial"/>
          <w:color w:val="auto"/>
          <w:sz w:val="22"/>
          <w:szCs w:val="22"/>
        </w:rPr>
        <w:t>r</w:t>
      </w:r>
      <w:r w:rsidRPr="0089439F">
        <w:rPr>
          <w:rFonts w:ascii="Arial" w:hAnsi="Arial" w:cs="Arial"/>
          <w:color w:val="auto"/>
          <w:sz w:val="22"/>
          <w:szCs w:val="22"/>
        </w:rPr>
        <w:t xml:space="preserve"> un </w:t>
      </w:r>
      <w:r w:rsidRPr="0089439F">
        <w:rPr>
          <w:rFonts w:ascii="Arial" w:hAnsi="Arial" w:cs="Arial"/>
          <w:color w:val="auto"/>
          <w:sz w:val="22"/>
          <w:szCs w:val="22"/>
        </w:rPr>
        <w:lastRenderedPageBreak/>
        <w:t xml:space="preserve">crecimiento en </w:t>
      </w:r>
      <w:r w:rsidRPr="0063776A">
        <w:rPr>
          <w:rFonts w:ascii="Arial" w:hAnsi="Arial" w:cs="Arial"/>
          <w:color w:val="auto"/>
          <w:sz w:val="22"/>
          <w:szCs w:val="22"/>
        </w:rPr>
        <w:t>la cartera de productos que nos  posicione como un ente importante en el abasto de vacunas y biológicos; y que nos permita participar en procesos de distribución de vacuna no sólo en la república mexicana, sino también al exterior.</w:t>
      </w:r>
    </w:p>
    <w:p w:rsidR="00457CB8" w:rsidRPr="0063776A" w:rsidRDefault="00457CB8" w:rsidP="00457CB8">
      <w:pPr>
        <w:pStyle w:val="Default"/>
        <w:jc w:val="both"/>
        <w:rPr>
          <w:rFonts w:ascii="Arial" w:hAnsi="Arial" w:cs="Arial"/>
          <w:color w:val="auto"/>
          <w:sz w:val="22"/>
          <w:szCs w:val="22"/>
        </w:rPr>
      </w:pPr>
    </w:p>
    <w:p w:rsidR="00141223" w:rsidRDefault="00141223" w:rsidP="00457CB8"/>
    <w:sectPr w:rsidR="00141223" w:rsidSect="00141223">
      <w:headerReference w:type="default" r:id="rId40"/>
      <w:pgSz w:w="12240" w:h="15840"/>
      <w:pgMar w:top="1418" w:right="1474" w:bottom="1418" w:left="147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5905" w:rsidRDefault="00425905" w:rsidP="00C0438E">
      <w:r>
        <w:separator/>
      </w:r>
    </w:p>
  </w:endnote>
  <w:endnote w:type="continuationSeparator" w:id="0">
    <w:p w:rsidR="00425905" w:rsidRDefault="00425905" w:rsidP="00C04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tserrat">
    <w:altName w:val="Courier New"/>
    <w:panose1 w:val="00000000000000000000"/>
    <w:charset w:val="00"/>
    <w:family w:val="modern"/>
    <w:notTrueType/>
    <w:pitch w:val="variable"/>
    <w:sig w:usb0="00000007" w:usb1="00000000" w:usb2="00000000" w:usb3="00000000" w:csb0="00000093" w:csb1="00000000"/>
  </w:font>
  <w:font w:name="Lucida Grande">
    <w:charset w:val="00"/>
    <w:family w:val="swiss"/>
    <w:pitch w:val="variable"/>
    <w:sig w:usb0="E1000AEF" w:usb1="5000A1FF" w:usb2="00000000" w:usb3="00000000" w:csb0="000001BF"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43" w:usb2="00000009" w:usb3="00000000" w:csb0="000001FF" w:csb1="00000000"/>
  </w:font>
  <w:font w:name="Montserrat Regular">
    <w:altName w:val="Times New Roman"/>
    <w:charset w:val="00"/>
    <w:family w:val="auto"/>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5905" w:rsidRDefault="00425905" w:rsidP="00C0438E">
      <w:r>
        <w:separator/>
      </w:r>
    </w:p>
  </w:footnote>
  <w:footnote w:type="continuationSeparator" w:id="0">
    <w:p w:rsidR="00425905" w:rsidRDefault="00425905" w:rsidP="00C0438E">
      <w:r>
        <w:continuationSeparator/>
      </w:r>
    </w:p>
  </w:footnote>
  <w:footnote w:id="1">
    <w:p w:rsidR="00141223" w:rsidRDefault="00141223" w:rsidP="00141223">
      <w:pPr>
        <w:pStyle w:val="Textonotapie"/>
      </w:pPr>
      <w:r>
        <w:rPr>
          <w:rStyle w:val="Refdenotaalpie"/>
        </w:rPr>
        <w:footnoteRef/>
      </w:r>
      <w:r>
        <w:t xml:space="preserve"> Información </w:t>
      </w:r>
      <w:proofErr w:type="gramStart"/>
      <w:r>
        <w:t>de  la</w:t>
      </w:r>
      <w:proofErr w:type="gramEnd"/>
      <w:r>
        <w:t xml:space="preserve"> Dirección del Instituto Nacional de Virología</w:t>
      </w:r>
    </w:p>
  </w:footnote>
  <w:footnote w:id="2">
    <w:p w:rsidR="00457CB8" w:rsidRDefault="00457CB8" w:rsidP="00457CB8">
      <w:pPr>
        <w:pStyle w:val="Textonotapie"/>
      </w:pPr>
      <w:r>
        <w:rPr>
          <w:rStyle w:val="Refdenotaalpie"/>
        </w:rPr>
        <w:footnoteRef/>
      </w:r>
      <w:r>
        <w:t xml:space="preserve"> Información del Instituto Nacional de Higiene</w:t>
      </w:r>
    </w:p>
  </w:footnote>
  <w:footnote w:id="3">
    <w:p w:rsidR="00457CB8" w:rsidRDefault="00457CB8" w:rsidP="00457CB8">
      <w:pPr>
        <w:pStyle w:val="Textonotapie"/>
      </w:pPr>
      <w:r>
        <w:rPr>
          <w:rStyle w:val="Refdenotaalpie"/>
        </w:rPr>
        <w:footnoteRef/>
      </w:r>
      <w:r>
        <w:t xml:space="preserve"> Información del Instituto Nacional de Higiene</w:t>
      </w:r>
    </w:p>
  </w:footnote>
  <w:footnote w:id="4">
    <w:p w:rsidR="00457CB8" w:rsidRDefault="00457CB8" w:rsidP="00457CB8">
      <w:pPr>
        <w:pStyle w:val="Textonotapie"/>
      </w:pPr>
      <w:r>
        <w:rPr>
          <w:rStyle w:val="Refdenotaalpie"/>
        </w:rPr>
        <w:footnoteRef/>
      </w:r>
      <w:r>
        <w:t xml:space="preserve"> Información del Instituto Nacional de Higiene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4B6" w:rsidRDefault="004F74B6">
    <w:pPr>
      <w:pStyle w:val="Encabezado"/>
    </w:pPr>
    <w:r>
      <w:rPr>
        <w:rFonts w:ascii="Montserrat Regular" w:hAnsi="Montserrat Regular"/>
        <w:noProof/>
        <w:color w:val="807F83"/>
        <w:sz w:val="18"/>
        <w:szCs w:val="18"/>
        <w:lang w:val="es-419" w:eastAsia="es-419" w:bidi="ar-SA"/>
      </w:rPr>
      <w:drawing>
        <wp:anchor distT="0" distB="0" distL="114300" distR="114300" simplePos="0" relativeHeight="251661312" behindDoc="1" locked="0" layoutInCell="1" allowOverlap="1" wp14:anchorId="4702C47E" wp14:editId="5038EDBD">
          <wp:simplePos x="0" y="0"/>
          <wp:positionH relativeFrom="page">
            <wp:align>right</wp:align>
          </wp:positionH>
          <wp:positionV relativeFrom="paragraph">
            <wp:posOffset>-1019810</wp:posOffset>
          </wp:positionV>
          <wp:extent cx="7753914" cy="833437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membretada_APBP_2021_principal.png"/>
                  <pic:cNvPicPr/>
                </pic:nvPicPr>
                <pic:blipFill rotWithShape="1">
                  <a:blip r:embed="rId1">
                    <a:extLst>
                      <a:ext uri="{28A0092B-C50C-407E-A947-70E740481C1C}">
                        <a14:useLocalDpi xmlns:a14="http://schemas.microsoft.com/office/drawing/2010/main" val="0"/>
                      </a:ext>
                    </a:extLst>
                  </a:blip>
                  <a:srcRect b="17469"/>
                  <a:stretch/>
                </pic:blipFill>
                <pic:spPr bwMode="auto">
                  <a:xfrm>
                    <a:off x="0" y="0"/>
                    <a:ext cx="7753914" cy="83343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38E" w:rsidRDefault="00985E42">
    <w:pPr>
      <w:pStyle w:val="Encabezado"/>
    </w:pPr>
    <w:r>
      <w:rPr>
        <w:rFonts w:ascii="Montserrat Regular" w:hAnsi="Montserrat Regular"/>
        <w:noProof/>
        <w:color w:val="807F83"/>
        <w:sz w:val="18"/>
        <w:szCs w:val="18"/>
        <w:lang w:val="es-419" w:eastAsia="es-419" w:bidi="ar-SA"/>
      </w:rPr>
      <w:drawing>
        <wp:anchor distT="0" distB="0" distL="114300" distR="114300" simplePos="0" relativeHeight="251659264" behindDoc="1" locked="0" layoutInCell="1" allowOverlap="1" wp14:anchorId="14DC4658" wp14:editId="1E3443F6">
          <wp:simplePos x="0" y="0"/>
          <wp:positionH relativeFrom="margin">
            <wp:align>center</wp:align>
          </wp:positionH>
          <wp:positionV relativeFrom="paragraph">
            <wp:posOffset>-1051560</wp:posOffset>
          </wp:positionV>
          <wp:extent cx="7753914" cy="833437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membretada_APBP_2021_principal.png"/>
                  <pic:cNvPicPr/>
                </pic:nvPicPr>
                <pic:blipFill rotWithShape="1">
                  <a:blip r:embed="rId1">
                    <a:extLst>
                      <a:ext uri="{28A0092B-C50C-407E-A947-70E740481C1C}">
                        <a14:useLocalDpi xmlns:a14="http://schemas.microsoft.com/office/drawing/2010/main" val="0"/>
                      </a:ext>
                    </a:extLst>
                  </a:blip>
                  <a:srcRect b="17469"/>
                  <a:stretch/>
                </pic:blipFill>
                <pic:spPr bwMode="auto">
                  <a:xfrm>
                    <a:off x="0" y="0"/>
                    <a:ext cx="7753914" cy="8334375"/>
                  </a:xfrm>
                  <a:prstGeom prst="rect">
                    <a:avLst/>
                  </a:prstGeom>
                  <a:ln>
                    <a:noFill/>
                  </a:ln>
                  <a:extLst>
                    <a:ext uri="{53640926-AAD7-44D8-BBD7-CCE9431645EC}">
                      <a14:shadowObscured xmlns:a14="http://schemas.microsoft.com/office/drawing/2010/main"/>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15769"/>
    <w:multiLevelType w:val="hybridMultilevel"/>
    <w:tmpl w:val="5B82E73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275E81"/>
    <w:multiLevelType w:val="hybridMultilevel"/>
    <w:tmpl w:val="82F2257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EE60EF1"/>
    <w:multiLevelType w:val="hybridMultilevel"/>
    <w:tmpl w:val="A7D649B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CB549E4"/>
    <w:multiLevelType w:val="hybridMultilevel"/>
    <w:tmpl w:val="CDB8A30C"/>
    <w:lvl w:ilvl="0" w:tplc="A2DE8C0C">
      <w:start w:val="1"/>
      <w:numFmt w:val="bullet"/>
      <w:lvlText w:val="•"/>
      <w:lvlJc w:val="left"/>
      <w:pPr>
        <w:tabs>
          <w:tab w:val="num" w:pos="720"/>
        </w:tabs>
        <w:ind w:left="720" w:hanging="360"/>
      </w:pPr>
      <w:rPr>
        <w:rFonts w:ascii="Arial" w:hAnsi="Arial" w:hint="default"/>
      </w:rPr>
    </w:lvl>
    <w:lvl w:ilvl="1" w:tplc="3D984CE6">
      <w:start w:val="1792"/>
      <w:numFmt w:val="bullet"/>
      <w:lvlText w:val="•"/>
      <w:lvlJc w:val="left"/>
      <w:pPr>
        <w:tabs>
          <w:tab w:val="num" w:pos="1440"/>
        </w:tabs>
        <w:ind w:left="1440" w:hanging="360"/>
      </w:pPr>
      <w:rPr>
        <w:rFonts w:ascii="Arial" w:hAnsi="Arial" w:hint="default"/>
      </w:rPr>
    </w:lvl>
    <w:lvl w:ilvl="2" w:tplc="9A344FE4">
      <w:start w:val="1792"/>
      <w:numFmt w:val="bullet"/>
      <w:lvlText w:val="•"/>
      <w:lvlJc w:val="left"/>
      <w:pPr>
        <w:tabs>
          <w:tab w:val="num" w:pos="2160"/>
        </w:tabs>
        <w:ind w:left="2160" w:hanging="360"/>
      </w:pPr>
      <w:rPr>
        <w:rFonts w:ascii="Arial" w:hAnsi="Arial" w:hint="default"/>
      </w:rPr>
    </w:lvl>
    <w:lvl w:ilvl="3" w:tplc="61824908" w:tentative="1">
      <w:start w:val="1"/>
      <w:numFmt w:val="bullet"/>
      <w:lvlText w:val="•"/>
      <w:lvlJc w:val="left"/>
      <w:pPr>
        <w:tabs>
          <w:tab w:val="num" w:pos="2880"/>
        </w:tabs>
        <w:ind w:left="2880" w:hanging="360"/>
      </w:pPr>
      <w:rPr>
        <w:rFonts w:ascii="Arial" w:hAnsi="Arial" w:hint="default"/>
      </w:rPr>
    </w:lvl>
    <w:lvl w:ilvl="4" w:tplc="22DCADDC" w:tentative="1">
      <w:start w:val="1"/>
      <w:numFmt w:val="bullet"/>
      <w:lvlText w:val="•"/>
      <w:lvlJc w:val="left"/>
      <w:pPr>
        <w:tabs>
          <w:tab w:val="num" w:pos="3600"/>
        </w:tabs>
        <w:ind w:left="3600" w:hanging="360"/>
      </w:pPr>
      <w:rPr>
        <w:rFonts w:ascii="Arial" w:hAnsi="Arial" w:hint="default"/>
      </w:rPr>
    </w:lvl>
    <w:lvl w:ilvl="5" w:tplc="72AEF244" w:tentative="1">
      <w:start w:val="1"/>
      <w:numFmt w:val="bullet"/>
      <w:lvlText w:val="•"/>
      <w:lvlJc w:val="left"/>
      <w:pPr>
        <w:tabs>
          <w:tab w:val="num" w:pos="4320"/>
        </w:tabs>
        <w:ind w:left="4320" w:hanging="360"/>
      </w:pPr>
      <w:rPr>
        <w:rFonts w:ascii="Arial" w:hAnsi="Arial" w:hint="default"/>
      </w:rPr>
    </w:lvl>
    <w:lvl w:ilvl="6" w:tplc="D59C3F20" w:tentative="1">
      <w:start w:val="1"/>
      <w:numFmt w:val="bullet"/>
      <w:lvlText w:val="•"/>
      <w:lvlJc w:val="left"/>
      <w:pPr>
        <w:tabs>
          <w:tab w:val="num" w:pos="5040"/>
        </w:tabs>
        <w:ind w:left="5040" w:hanging="360"/>
      </w:pPr>
      <w:rPr>
        <w:rFonts w:ascii="Arial" w:hAnsi="Arial" w:hint="default"/>
      </w:rPr>
    </w:lvl>
    <w:lvl w:ilvl="7" w:tplc="FCC8322E" w:tentative="1">
      <w:start w:val="1"/>
      <w:numFmt w:val="bullet"/>
      <w:lvlText w:val="•"/>
      <w:lvlJc w:val="left"/>
      <w:pPr>
        <w:tabs>
          <w:tab w:val="num" w:pos="5760"/>
        </w:tabs>
        <w:ind w:left="5760" w:hanging="360"/>
      </w:pPr>
      <w:rPr>
        <w:rFonts w:ascii="Arial" w:hAnsi="Arial" w:hint="default"/>
      </w:rPr>
    </w:lvl>
    <w:lvl w:ilvl="8" w:tplc="982EB66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0B10F1F"/>
    <w:multiLevelType w:val="hybridMultilevel"/>
    <w:tmpl w:val="BB042FE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41DF518D"/>
    <w:multiLevelType w:val="hybridMultilevel"/>
    <w:tmpl w:val="CF2EB36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4DC251FB"/>
    <w:multiLevelType w:val="hybridMultilevel"/>
    <w:tmpl w:val="B630D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6272D1E"/>
    <w:multiLevelType w:val="hybridMultilevel"/>
    <w:tmpl w:val="0FEE9B0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7"/>
  </w:num>
  <w:num w:numId="5">
    <w:abstractNumId w:val="0"/>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E42"/>
    <w:rsid w:val="00004175"/>
    <w:rsid w:val="0000757C"/>
    <w:rsid w:val="00010D3B"/>
    <w:rsid w:val="000173BB"/>
    <w:rsid w:val="000276DF"/>
    <w:rsid w:val="00050CF1"/>
    <w:rsid w:val="000622BB"/>
    <w:rsid w:val="000626E2"/>
    <w:rsid w:val="000723A3"/>
    <w:rsid w:val="000733D1"/>
    <w:rsid w:val="000816AC"/>
    <w:rsid w:val="000860B2"/>
    <w:rsid w:val="0009269E"/>
    <w:rsid w:val="000930B4"/>
    <w:rsid w:val="00093D93"/>
    <w:rsid w:val="0009445E"/>
    <w:rsid w:val="0009726C"/>
    <w:rsid w:val="000A5D82"/>
    <w:rsid w:val="000A71D4"/>
    <w:rsid w:val="000B0381"/>
    <w:rsid w:val="000C199D"/>
    <w:rsid w:val="000C7064"/>
    <w:rsid w:val="000D0BA6"/>
    <w:rsid w:val="000D7C91"/>
    <w:rsid w:val="000E638D"/>
    <w:rsid w:val="000F09C8"/>
    <w:rsid w:val="000F6817"/>
    <w:rsid w:val="001022CF"/>
    <w:rsid w:val="001028CC"/>
    <w:rsid w:val="0011060E"/>
    <w:rsid w:val="00113656"/>
    <w:rsid w:val="00134838"/>
    <w:rsid w:val="00136C9C"/>
    <w:rsid w:val="00140012"/>
    <w:rsid w:val="00140701"/>
    <w:rsid w:val="00140C6E"/>
    <w:rsid w:val="00141223"/>
    <w:rsid w:val="00146623"/>
    <w:rsid w:val="0015264B"/>
    <w:rsid w:val="0015358A"/>
    <w:rsid w:val="001608AC"/>
    <w:rsid w:val="00163B65"/>
    <w:rsid w:val="0016440C"/>
    <w:rsid w:val="001655D1"/>
    <w:rsid w:val="001728F7"/>
    <w:rsid w:val="00175E44"/>
    <w:rsid w:val="001802D1"/>
    <w:rsid w:val="00182FA3"/>
    <w:rsid w:val="001872E0"/>
    <w:rsid w:val="00193BDD"/>
    <w:rsid w:val="001A4019"/>
    <w:rsid w:val="001A57A3"/>
    <w:rsid w:val="001B215F"/>
    <w:rsid w:val="001C028F"/>
    <w:rsid w:val="001C4F2E"/>
    <w:rsid w:val="001C575D"/>
    <w:rsid w:val="001C6183"/>
    <w:rsid w:val="001E07B5"/>
    <w:rsid w:val="001E2316"/>
    <w:rsid w:val="001F05D4"/>
    <w:rsid w:val="00201CAF"/>
    <w:rsid w:val="00202AA8"/>
    <w:rsid w:val="00205336"/>
    <w:rsid w:val="002057DC"/>
    <w:rsid w:val="002133F6"/>
    <w:rsid w:val="002255EA"/>
    <w:rsid w:val="002350EE"/>
    <w:rsid w:val="002472E7"/>
    <w:rsid w:val="00251810"/>
    <w:rsid w:val="00253F15"/>
    <w:rsid w:val="0025540D"/>
    <w:rsid w:val="00270106"/>
    <w:rsid w:val="0027374A"/>
    <w:rsid w:val="00285DE6"/>
    <w:rsid w:val="0029335F"/>
    <w:rsid w:val="00293A85"/>
    <w:rsid w:val="002A76D7"/>
    <w:rsid w:val="002B55DB"/>
    <w:rsid w:val="002B66DE"/>
    <w:rsid w:val="002C07FB"/>
    <w:rsid w:val="002C0A69"/>
    <w:rsid w:val="002C3EF4"/>
    <w:rsid w:val="002F127D"/>
    <w:rsid w:val="002F65BC"/>
    <w:rsid w:val="0030163C"/>
    <w:rsid w:val="00303E50"/>
    <w:rsid w:val="003149CB"/>
    <w:rsid w:val="0032319E"/>
    <w:rsid w:val="003273B8"/>
    <w:rsid w:val="00334343"/>
    <w:rsid w:val="00335E3B"/>
    <w:rsid w:val="00340D77"/>
    <w:rsid w:val="0034199A"/>
    <w:rsid w:val="00347D1C"/>
    <w:rsid w:val="00350439"/>
    <w:rsid w:val="00354663"/>
    <w:rsid w:val="00357B60"/>
    <w:rsid w:val="003743AF"/>
    <w:rsid w:val="0037712B"/>
    <w:rsid w:val="003779DF"/>
    <w:rsid w:val="003834A4"/>
    <w:rsid w:val="0038407D"/>
    <w:rsid w:val="003848FA"/>
    <w:rsid w:val="00384977"/>
    <w:rsid w:val="00385198"/>
    <w:rsid w:val="00396C8F"/>
    <w:rsid w:val="003A420E"/>
    <w:rsid w:val="003B30DE"/>
    <w:rsid w:val="003B72D0"/>
    <w:rsid w:val="003C605A"/>
    <w:rsid w:val="003E05F2"/>
    <w:rsid w:val="003E238A"/>
    <w:rsid w:val="003F572A"/>
    <w:rsid w:val="00403FD2"/>
    <w:rsid w:val="004143BF"/>
    <w:rsid w:val="0041535F"/>
    <w:rsid w:val="004242E4"/>
    <w:rsid w:val="00425905"/>
    <w:rsid w:val="00426313"/>
    <w:rsid w:val="00430071"/>
    <w:rsid w:val="0045256C"/>
    <w:rsid w:val="00455B3D"/>
    <w:rsid w:val="00456E7D"/>
    <w:rsid w:val="00457CB8"/>
    <w:rsid w:val="00462FC7"/>
    <w:rsid w:val="00473B47"/>
    <w:rsid w:val="00494206"/>
    <w:rsid w:val="00494C1A"/>
    <w:rsid w:val="004B085F"/>
    <w:rsid w:val="004C1682"/>
    <w:rsid w:val="004C2C99"/>
    <w:rsid w:val="004C2D23"/>
    <w:rsid w:val="004D33BC"/>
    <w:rsid w:val="004D39AD"/>
    <w:rsid w:val="004D405D"/>
    <w:rsid w:val="004E0C94"/>
    <w:rsid w:val="004E4968"/>
    <w:rsid w:val="004E5B43"/>
    <w:rsid w:val="004F054E"/>
    <w:rsid w:val="004F74B6"/>
    <w:rsid w:val="005029D8"/>
    <w:rsid w:val="00511538"/>
    <w:rsid w:val="00512F67"/>
    <w:rsid w:val="00517B28"/>
    <w:rsid w:val="00531167"/>
    <w:rsid w:val="00532BF0"/>
    <w:rsid w:val="005402A0"/>
    <w:rsid w:val="00540982"/>
    <w:rsid w:val="005474F2"/>
    <w:rsid w:val="0055640F"/>
    <w:rsid w:val="005564AB"/>
    <w:rsid w:val="00556C52"/>
    <w:rsid w:val="00556EC9"/>
    <w:rsid w:val="005736D1"/>
    <w:rsid w:val="00582F06"/>
    <w:rsid w:val="0058690F"/>
    <w:rsid w:val="00596D8C"/>
    <w:rsid w:val="00597ACC"/>
    <w:rsid w:val="005B5CD6"/>
    <w:rsid w:val="005B611C"/>
    <w:rsid w:val="005C6006"/>
    <w:rsid w:val="005D3888"/>
    <w:rsid w:val="005D63FB"/>
    <w:rsid w:val="005D7523"/>
    <w:rsid w:val="005E344E"/>
    <w:rsid w:val="005E6879"/>
    <w:rsid w:val="005F41E6"/>
    <w:rsid w:val="0060049A"/>
    <w:rsid w:val="006013DA"/>
    <w:rsid w:val="006078D8"/>
    <w:rsid w:val="006131E8"/>
    <w:rsid w:val="0061394D"/>
    <w:rsid w:val="0063614F"/>
    <w:rsid w:val="00643801"/>
    <w:rsid w:val="00643FD2"/>
    <w:rsid w:val="00644AFD"/>
    <w:rsid w:val="006464EA"/>
    <w:rsid w:val="006706A5"/>
    <w:rsid w:val="006852F2"/>
    <w:rsid w:val="00692425"/>
    <w:rsid w:val="00694D7B"/>
    <w:rsid w:val="00695117"/>
    <w:rsid w:val="00697772"/>
    <w:rsid w:val="006A6AE6"/>
    <w:rsid w:val="006B7962"/>
    <w:rsid w:val="006B7D9C"/>
    <w:rsid w:val="006C433E"/>
    <w:rsid w:val="006F2314"/>
    <w:rsid w:val="006F2A52"/>
    <w:rsid w:val="00703E5F"/>
    <w:rsid w:val="00704565"/>
    <w:rsid w:val="00705237"/>
    <w:rsid w:val="00715655"/>
    <w:rsid w:val="00722350"/>
    <w:rsid w:val="00732660"/>
    <w:rsid w:val="007359B2"/>
    <w:rsid w:val="00736871"/>
    <w:rsid w:val="00737DD4"/>
    <w:rsid w:val="007472E4"/>
    <w:rsid w:val="00753122"/>
    <w:rsid w:val="007608C2"/>
    <w:rsid w:val="00764175"/>
    <w:rsid w:val="00770EEB"/>
    <w:rsid w:val="007724AD"/>
    <w:rsid w:val="00780D31"/>
    <w:rsid w:val="007A0419"/>
    <w:rsid w:val="007A17FE"/>
    <w:rsid w:val="007A2B5C"/>
    <w:rsid w:val="007A4523"/>
    <w:rsid w:val="007A481F"/>
    <w:rsid w:val="007A4CB7"/>
    <w:rsid w:val="007A520E"/>
    <w:rsid w:val="007A5A13"/>
    <w:rsid w:val="007B34A0"/>
    <w:rsid w:val="007B6F89"/>
    <w:rsid w:val="007C5744"/>
    <w:rsid w:val="007D25AC"/>
    <w:rsid w:val="007D40DC"/>
    <w:rsid w:val="007D6A3F"/>
    <w:rsid w:val="007E6CF7"/>
    <w:rsid w:val="007F507B"/>
    <w:rsid w:val="007F5760"/>
    <w:rsid w:val="007F7A5D"/>
    <w:rsid w:val="008051F5"/>
    <w:rsid w:val="00816AAA"/>
    <w:rsid w:val="00817003"/>
    <w:rsid w:val="00830AE4"/>
    <w:rsid w:val="00833A12"/>
    <w:rsid w:val="00835988"/>
    <w:rsid w:val="00835FEC"/>
    <w:rsid w:val="00842B65"/>
    <w:rsid w:val="00845667"/>
    <w:rsid w:val="00847625"/>
    <w:rsid w:val="008651F8"/>
    <w:rsid w:val="008662DF"/>
    <w:rsid w:val="00882DF7"/>
    <w:rsid w:val="008959B2"/>
    <w:rsid w:val="008A697F"/>
    <w:rsid w:val="008B0EEC"/>
    <w:rsid w:val="008B3977"/>
    <w:rsid w:val="008B40FB"/>
    <w:rsid w:val="008B51D7"/>
    <w:rsid w:val="008C2691"/>
    <w:rsid w:val="008D384E"/>
    <w:rsid w:val="008E0F80"/>
    <w:rsid w:val="008E7FE6"/>
    <w:rsid w:val="00912063"/>
    <w:rsid w:val="009120D8"/>
    <w:rsid w:val="00916356"/>
    <w:rsid w:val="009209B3"/>
    <w:rsid w:val="00926CB8"/>
    <w:rsid w:val="00926ED6"/>
    <w:rsid w:val="00926F2A"/>
    <w:rsid w:val="009270CA"/>
    <w:rsid w:val="00930B13"/>
    <w:rsid w:val="009352DB"/>
    <w:rsid w:val="009460F5"/>
    <w:rsid w:val="00952380"/>
    <w:rsid w:val="009523A9"/>
    <w:rsid w:val="0095410B"/>
    <w:rsid w:val="00955CC1"/>
    <w:rsid w:val="009573AC"/>
    <w:rsid w:val="00960E0A"/>
    <w:rsid w:val="0096617D"/>
    <w:rsid w:val="009679DA"/>
    <w:rsid w:val="009766F0"/>
    <w:rsid w:val="00982590"/>
    <w:rsid w:val="00985097"/>
    <w:rsid w:val="00985E42"/>
    <w:rsid w:val="00990E83"/>
    <w:rsid w:val="009A1CA7"/>
    <w:rsid w:val="009A7CD0"/>
    <w:rsid w:val="009C58AB"/>
    <w:rsid w:val="009C59A8"/>
    <w:rsid w:val="009C7344"/>
    <w:rsid w:val="009C7A73"/>
    <w:rsid w:val="009C7C0A"/>
    <w:rsid w:val="009D40C6"/>
    <w:rsid w:val="009D78D6"/>
    <w:rsid w:val="009E5ADC"/>
    <w:rsid w:val="009F0933"/>
    <w:rsid w:val="00A153C5"/>
    <w:rsid w:val="00A164D3"/>
    <w:rsid w:val="00A21520"/>
    <w:rsid w:val="00A26938"/>
    <w:rsid w:val="00A34BDD"/>
    <w:rsid w:val="00A37870"/>
    <w:rsid w:val="00A55060"/>
    <w:rsid w:val="00A57B37"/>
    <w:rsid w:val="00A63655"/>
    <w:rsid w:val="00A642AA"/>
    <w:rsid w:val="00A71EF9"/>
    <w:rsid w:val="00A8021B"/>
    <w:rsid w:val="00A80C24"/>
    <w:rsid w:val="00A832B7"/>
    <w:rsid w:val="00AA1EE5"/>
    <w:rsid w:val="00AA3243"/>
    <w:rsid w:val="00AB5215"/>
    <w:rsid w:val="00AC0160"/>
    <w:rsid w:val="00AC1049"/>
    <w:rsid w:val="00AC29D2"/>
    <w:rsid w:val="00AC4F2E"/>
    <w:rsid w:val="00AC707A"/>
    <w:rsid w:val="00AD2B58"/>
    <w:rsid w:val="00AD45AF"/>
    <w:rsid w:val="00AD610E"/>
    <w:rsid w:val="00AE1BB1"/>
    <w:rsid w:val="00AE4B15"/>
    <w:rsid w:val="00AE5667"/>
    <w:rsid w:val="00AE6417"/>
    <w:rsid w:val="00AE7940"/>
    <w:rsid w:val="00B00561"/>
    <w:rsid w:val="00B17796"/>
    <w:rsid w:val="00B202F4"/>
    <w:rsid w:val="00B21E49"/>
    <w:rsid w:val="00B3091F"/>
    <w:rsid w:val="00B40A18"/>
    <w:rsid w:val="00B54FAE"/>
    <w:rsid w:val="00B6321F"/>
    <w:rsid w:val="00B651B9"/>
    <w:rsid w:val="00B72DB1"/>
    <w:rsid w:val="00B80CE5"/>
    <w:rsid w:val="00B8204B"/>
    <w:rsid w:val="00B820BC"/>
    <w:rsid w:val="00B85A9C"/>
    <w:rsid w:val="00B85ED4"/>
    <w:rsid w:val="00BB4E19"/>
    <w:rsid w:val="00BC3940"/>
    <w:rsid w:val="00BD3565"/>
    <w:rsid w:val="00BF1895"/>
    <w:rsid w:val="00BF21A2"/>
    <w:rsid w:val="00BF446F"/>
    <w:rsid w:val="00BF6FD2"/>
    <w:rsid w:val="00BF77F4"/>
    <w:rsid w:val="00C00802"/>
    <w:rsid w:val="00C02ED4"/>
    <w:rsid w:val="00C0438E"/>
    <w:rsid w:val="00C061E1"/>
    <w:rsid w:val="00C1661C"/>
    <w:rsid w:val="00C374A7"/>
    <w:rsid w:val="00C42A41"/>
    <w:rsid w:val="00C46187"/>
    <w:rsid w:val="00C60D72"/>
    <w:rsid w:val="00C619E5"/>
    <w:rsid w:val="00C61D23"/>
    <w:rsid w:val="00C633F1"/>
    <w:rsid w:val="00C65917"/>
    <w:rsid w:val="00C65D3F"/>
    <w:rsid w:val="00C66312"/>
    <w:rsid w:val="00C73D1A"/>
    <w:rsid w:val="00C74635"/>
    <w:rsid w:val="00C76E6B"/>
    <w:rsid w:val="00C81E26"/>
    <w:rsid w:val="00C83CF7"/>
    <w:rsid w:val="00C92F7D"/>
    <w:rsid w:val="00C9484D"/>
    <w:rsid w:val="00C97EE2"/>
    <w:rsid w:val="00CA6D3D"/>
    <w:rsid w:val="00CB0030"/>
    <w:rsid w:val="00CB10A4"/>
    <w:rsid w:val="00CB55F8"/>
    <w:rsid w:val="00CB5D59"/>
    <w:rsid w:val="00CC49CE"/>
    <w:rsid w:val="00CD0D63"/>
    <w:rsid w:val="00CF1515"/>
    <w:rsid w:val="00CF2BA4"/>
    <w:rsid w:val="00CF5B05"/>
    <w:rsid w:val="00D01126"/>
    <w:rsid w:val="00D05F90"/>
    <w:rsid w:val="00D22D7B"/>
    <w:rsid w:val="00D354EB"/>
    <w:rsid w:val="00D35B95"/>
    <w:rsid w:val="00D42D49"/>
    <w:rsid w:val="00D44366"/>
    <w:rsid w:val="00D5230E"/>
    <w:rsid w:val="00D5501B"/>
    <w:rsid w:val="00D60B9A"/>
    <w:rsid w:val="00D6100B"/>
    <w:rsid w:val="00D64D95"/>
    <w:rsid w:val="00D67307"/>
    <w:rsid w:val="00D7262B"/>
    <w:rsid w:val="00D75CDE"/>
    <w:rsid w:val="00D8275F"/>
    <w:rsid w:val="00D91101"/>
    <w:rsid w:val="00D955EC"/>
    <w:rsid w:val="00D96407"/>
    <w:rsid w:val="00DA52D1"/>
    <w:rsid w:val="00DB1CCC"/>
    <w:rsid w:val="00DB652E"/>
    <w:rsid w:val="00DB7CA7"/>
    <w:rsid w:val="00DF385A"/>
    <w:rsid w:val="00DF59B9"/>
    <w:rsid w:val="00DF61E2"/>
    <w:rsid w:val="00E03984"/>
    <w:rsid w:val="00E04D7E"/>
    <w:rsid w:val="00E06E46"/>
    <w:rsid w:val="00E2304F"/>
    <w:rsid w:val="00E23542"/>
    <w:rsid w:val="00E24B7F"/>
    <w:rsid w:val="00E32A9F"/>
    <w:rsid w:val="00E333F6"/>
    <w:rsid w:val="00E3429A"/>
    <w:rsid w:val="00E43BB4"/>
    <w:rsid w:val="00E44BEF"/>
    <w:rsid w:val="00E4528C"/>
    <w:rsid w:val="00E45779"/>
    <w:rsid w:val="00E469A1"/>
    <w:rsid w:val="00E47BAD"/>
    <w:rsid w:val="00E52E9A"/>
    <w:rsid w:val="00E60EBC"/>
    <w:rsid w:val="00E64675"/>
    <w:rsid w:val="00E7794C"/>
    <w:rsid w:val="00E86E89"/>
    <w:rsid w:val="00E904A9"/>
    <w:rsid w:val="00E938E3"/>
    <w:rsid w:val="00E96632"/>
    <w:rsid w:val="00EB179B"/>
    <w:rsid w:val="00ED49E1"/>
    <w:rsid w:val="00EE1931"/>
    <w:rsid w:val="00F05112"/>
    <w:rsid w:val="00F120D0"/>
    <w:rsid w:val="00F1499C"/>
    <w:rsid w:val="00F1730F"/>
    <w:rsid w:val="00F248FB"/>
    <w:rsid w:val="00F31855"/>
    <w:rsid w:val="00F344E3"/>
    <w:rsid w:val="00F4431E"/>
    <w:rsid w:val="00F55CEC"/>
    <w:rsid w:val="00F6180F"/>
    <w:rsid w:val="00F7725A"/>
    <w:rsid w:val="00F8390D"/>
    <w:rsid w:val="00F83CC9"/>
    <w:rsid w:val="00F879EF"/>
    <w:rsid w:val="00F94AE2"/>
    <w:rsid w:val="00F96A0B"/>
    <w:rsid w:val="00FA1E97"/>
    <w:rsid w:val="00FA4493"/>
    <w:rsid w:val="00FA657D"/>
    <w:rsid w:val="00FA6EF0"/>
    <w:rsid w:val="00FA7311"/>
    <w:rsid w:val="00FC0C4E"/>
    <w:rsid w:val="00FD4396"/>
    <w:rsid w:val="00FD7AF4"/>
    <w:rsid w:val="00FE7CDD"/>
    <w:rsid w:val="00FF338F"/>
    <w:rsid w:val="00FF548F"/>
  </w:rsids>
  <m:mathPr>
    <m:mathFont m:val="Cambria Math"/>
    <m:brkBin m:val="before"/>
    <m:brkBinSub m:val="--"/>
    <m:smallFrac m:val="0"/>
    <m:dispDef/>
    <m:lMargin m:val="0"/>
    <m:rMargin m:val="0"/>
    <m:defJc m:val="centerGroup"/>
    <m:wrapIndent m:val="1440"/>
    <m:intLim m:val="subSup"/>
    <m:naryLim m:val="undOvr"/>
  </m:mathPr>
  <w:themeFontLang w:val="es-MX"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645228"/>
  <w15:chartTrackingRefBased/>
  <w15:docId w15:val="{9D85AE37-B736-8643-8834-222A432D3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0438E"/>
    <w:pPr>
      <w:tabs>
        <w:tab w:val="center" w:pos="4419"/>
        <w:tab w:val="right" w:pos="8838"/>
      </w:tabs>
    </w:pPr>
  </w:style>
  <w:style w:type="paragraph" w:customStyle="1" w:styleId="TtuloBirmex">
    <w:name w:val="Título Birmex"/>
    <w:basedOn w:val="Normal"/>
    <w:qFormat/>
    <w:rsid w:val="00C0438E"/>
    <w:pPr>
      <w:jc w:val="center"/>
    </w:pPr>
    <w:rPr>
      <w:rFonts w:ascii="Montserrat" w:hAnsi="Montserrat"/>
      <w:b/>
      <w:sz w:val="28"/>
    </w:rPr>
  </w:style>
  <w:style w:type="paragraph" w:customStyle="1" w:styleId="TextoBirmex">
    <w:name w:val="Texto Birmex"/>
    <w:basedOn w:val="Normal"/>
    <w:qFormat/>
    <w:rsid w:val="00C0438E"/>
    <w:rPr>
      <w:rFonts w:ascii="Montserrat" w:hAnsi="Montserrat"/>
      <w:color w:val="3B3838" w:themeColor="background2" w:themeShade="40"/>
      <w:sz w:val="20"/>
    </w:rPr>
  </w:style>
  <w:style w:type="character" w:customStyle="1" w:styleId="EncabezadoCar">
    <w:name w:val="Encabezado Car"/>
    <w:basedOn w:val="Fuentedeprrafopredeter"/>
    <w:link w:val="Encabezado"/>
    <w:uiPriority w:val="99"/>
    <w:rsid w:val="00C0438E"/>
    <w:rPr>
      <w:rFonts w:eastAsiaTheme="minorEastAsia"/>
    </w:rPr>
  </w:style>
  <w:style w:type="paragraph" w:styleId="Piedepgina">
    <w:name w:val="footer"/>
    <w:basedOn w:val="Normal"/>
    <w:link w:val="PiedepginaCar"/>
    <w:uiPriority w:val="99"/>
    <w:unhideWhenUsed/>
    <w:rsid w:val="00C0438E"/>
    <w:pPr>
      <w:tabs>
        <w:tab w:val="center" w:pos="4419"/>
        <w:tab w:val="right" w:pos="8838"/>
      </w:tabs>
    </w:pPr>
  </w:style>
  <w:style w:type="character" w:customStyle="1" w:styleId="PiedepginaCar">
    <w:name w:val="Pie de página Car"/>
    <w:basedOn w:val="Fuentedeprrafopredeter"/>
    <w:link w:val="Piedepgina"/>
    <w:uiPriority w:val="99"/>
    <w:rsid w:val="00C0438E"/>
    <w:rPr>
      <w:rFonts w:eastAsiaTheme="minorEastAsia"/>
    </w:rPr>
  </w:style>
  <w:style w:type="paragraph" w:styleId="Textodeglobo">
    <w:name w:val="Balloon Text"/>
    <w:basedOn w:val="Normal"/>
    <w:link w:val="TextodegloboCar"/>
    <w:uiPriority w:val="99"/>
    <w:semiHidden/>
    <w:unhideWhenUsed/>
    <w:rsid w:val="00985E42"/>
    <w:rPr>
      <w:rFonts w:ascii="Lucida Grande" w:eastAsia="MS Mincho" w:hAnsi="Lucida Grande" w:cs="Times New Roman"/>
      <w:sz w:val="18"/>
      <w:szCs w:val="18"/>
      <w:lang w:val="es-ES_tradnl" w:eastAsia="es-ES" w:bidi="ar-SA"/>
    </w:rPr>
  </w:style>
  <w:style w:type="character" w:customStyle="1" w:styleId="TextodegloboCar">
    <w:name w:val="Texto de globo Car"/>
    <w:basedOn w:val="Fuentedeprrafopredeter"/>
    <w:link w:val="Textodeglobo"/>
    <w:uiPriority w:val="99"/>
    <w:semiHidden/>
    <w:rsid w:val="00985E42"/>
    <w:rPr>
      <w:rFonts w:ascii="Lucida Grande" w:eastAsia="MS Mincho" w:hAnsi="Lucida Grande" w:cs="Times New Roman"/>
      <w:sz w:val="18"/>
      <w:szCs w:val="18"/>
      <w:lang w:val="es-ES_tradnl" w:eastAsia="es-ES" w:bidi="ar-SA"/>
    </w:rPr>
  </w:style>
  <w:style w:type="paragraph" w:customStyle="1" w:styleId="m91763113346106596m7313138160496177183gmail-msoheader">
    <w:name w:val="m_91763113346106596m_7313138160496177183gmail-msoheader"/>
    <w:basedOn w:val="Normal"/>
    <w:rsid w:val="003E238A"/>
    <w:pPr>
      <w:spacing w:before="100" w:beforeAutospacing="1" w:after="100" w:afterAutospacing="1"/>
    </w:pPr>
    <w:rPr>
      <w:rFonts w:ascii="Times" w:eastAsia="MS Mincho" w:hAnsi="Times" w:cs="Times New Roman"/>
      <w:sz w:val="20"/>
      <w:szCs w:val="20"/>
      <w:lang w:val="es-ES_tradnl" w:eastAsia="es-ES" w:bidi="ar-SA"/>
    </w:rPr>
  </w:style>
  <w:style w:type="table" w:styleId="Tablaconcuadrcula">
    <w:name w:val="Table Grid"/>
    <w:basedOn w:val="Tablanormal"/>
    <w:uiPriority w:val="39"/>
    <w:rsid w:val="006B7D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F338F"/>
    <w:pPr>
      <w:ind w:left="720"/>
      <w:contextualSpacing/>
    </w:pPr>
  </w:style>
  <w:style w:type="paragraph" w:customStyle="1" w:styleId="Texto">
    <w:name w:val="Texto"/>
    <w:basedOn w:val="Normal"/>
    <w:rsid w:val="0096617D"/>
    <w:pPr>
      <w:spacing w:after="101" w:line="216" w:lineRule="exact"/>
      <w:ind w:firstLine="288"/>
      <w:jc w:val="both"/>
    </w:pPr>
    <w:rPr>
      <w:rFonts w:ascii="Arial" w:eastAsia="Times New Roman" w:hAnsi="Arial" w:cs="Arial"/>
      <w:sz w:val="18"/>
      <w:szCs w:val="20"/>
      <w:lang w:val="es-ES" w:eastAsia="es-MX" w:bidi="ar-SA"/>
    </w:rPr>
  </w:style>
  <w:style w:type="paragraph" w:customStyle="1" w:styleId="Default">
    <w:name w:val="Default"/>
    <w:rsid w:val="0000757C"/>
    <w:pPr>
      <w:autoSpaceDE w:val="0"/>
      <w:autoSpaceDN w:val="0"/>
      <w:adjustRightInd w:val="0"/>
    </w:pPr>
    <w:rPr>
      <w:rFonts w:ascii="Times New Roman" w:hAnsi="Times New Roman" w:cs="Times New Roman"/>
      <w:color w:val="000000"/>
      <w:lang w:bidi="ar-SA"/>
    </w:rPr>
  </w:style>
  <w:style w:type="paragraph" w:styleId="Textonotapie">
    <w:name w:val="footnote text"/>
    <w:basedOn w:val="Normal"/>
    <w:link w:val="TextonotapieCar"/>
    <w:uiPriority w:val="99"/>
    <w:semiHidden/>
    <w:unhideWhenUsed/>
    <w:rsid w:val="0000757C"/>
    <w:rPr>
      <w:rFonts w:eastAsiaTheme="minorHAnsi"/>
      <w:sz w:val="20"/>
      <w:szCs w:val="20"/>
      <w:lang w:bidi="ar-SA"/>
    </w:rPr>
  </w:style>
  <w:style w:type="character" w:customStyle="1" w:styleId="TextonotapieCar">
    <w:name w:val="Texto nota pie Car"/>
    <w:basedOn w:val="Fuentedeprrafopredeter"/>
    <w:link w:val="Textonotapie"/>
    <w:uiPriority w:val="99"/>
    <w:semiHidden/>
    <w:rsid w:val="0000757C"/>
    <w:rPr>
      <w:sz w:val="20"/>
      <w:szCs w:val="20"/>
      <w:lang w:bidi="ar-SA"/>
    </w:rPr>
  </w:style>
  <w:style w:type="character" w:styleId="Refdenotaalpie">
    <w:name w:val="footnote reference"/>
    <w:basedOn w:val="Fuentedeprrafopredeter"/>
    <w:uiPriority w:val="99"/>
    <w:semiHidden/>
    <w:unhideWhenUsed/>
    <w:rsid w:val="0000757C"/>
    <w:rPr>
      <w:vertAlign w:val="superscript"/>
    </w:rPr>
  </w:style>
  <w:style w:type="paragraph" w:styleId="NormalWeb">
    <w:name w:val="Normal (Web)"/>
    <w:basedOn w:val="Normal"/>
    <w:uiPriority w:val="99"/>
    <w:unhideWhenUsed/>
    <w:rsid w:val="0000757C"/>
    <w:pPr>
      <w:spacing w:before="100" w:beforeAutospacing="1" w:after="100" w:afterAutospacing="1"/>
    </w:pPr>
    <w:rPr>
      <w:rFonts w:ascii="Times New Roman" w:eastAsia="Times New Roman" w:hAnsi="Times New Roman" w:cs="Times New Roman"/>
      <w:lang w:eastAsia="es-MX" w:bidi="ar-SA"/>
    </w:rPr>
  </w:style>
  <w:style w:type="character" w:styleId="nfasis">
    <w:name w:val="Emphasis"/>
    <w:uiPriority w:val="20"/>
    <w:qFormat/>
    <w:rsid w:val="0000757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07366">
      <w:bodyDiv w:val="1"/>
      <w:marLeft w:val="0"/>
      <w:marRight w:val="0"/>
      <w:marTop w:val="0"/>
      <w:marBottom w:val="0"/>
      <w:divBdr>
        <w:top w:val="none" w:sz="0" w:space="0" w:color="auto"/>
        <w:left w:val="none" w:sz="0" w:space="0" w:color="auto"/>
        <w:bottom w:val="none" w:sz="0" w:space="0" w:color="auto"/>
        <w:right w:val="none" w:sz="0" w:space="0" w:color="auto"/>
      </w:divBdr>
    </w:div>
    <w:div w:id="2089643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1.jpeg"/><Relationship Id="rId39" Type="http://schemas.microsoft.com/office/2007/relationships/hdphoto" Target="media/hdphoto12.wdp"/><Relationship Id="rId21" Type="http://schemas.microsoft.com/office/2007/relationships/hdphoto" Target="media/hdphoto5.wdp"/><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1.xml"/><Relationship Id="rId23" Type="http://schemas.microsoft.com/office/2007/relationships/hdphoto" Target="media/hdphoto6.wdp"/><Relationship Id="rId28" Type="http://schemas.microsoft.com/office/2007/relationships/hdphoto" Target="media/hdphoto8.wdp"/><Relationship Id="rId36" Type="http://schemas.openxmlformats.org/officeDocument/2006/relationships/image" Target="media/image17.jpeg"/><Relationship Id="rId10" Type="http://schemas.openxmlformats.org/officeDocument/2006/relationships/hyperlink" Target="http://www.google.com.mx/url?sa=i&amp;rct=j&amp;q=&amp;esrc=s&amp;source=images&amp;cd=&amp;cad=rja&amp;uact=8&amp;ved=0CAcQjRw&amp;url=http://acentoveintiuno.com/?Contra-la-poliomielitis-dos&amp;ei=-FVvVa3zFYGtsQWpuYC4CA&amp;bvm=bv.94911696,d.b2w&amp;psig=AFQjCNH5eLezk6lPIVIO2KGJdHbjpY31ug&amp;ust=1433446230782724" TargetMode="External"/><Relationship Id="rId19" Type="http://schemas.openxmlformats.org/officeDocument/2006/relationships/image" Target="media/image7.jpeg"/><Relationship Id="rId31" Type="http://schemas.openxmlformats.org/officeDocument/2006/relationships/image" Target="media/image14.jpe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9.png"/><Relationship Id="rId27" Type="http://schemas.openxmlformats.org/officeDocument/2006/relationships/image" Target="media/image12.jpeg"/><Relationship Id="rId30" Type="http://schemas.microsoft.com/office/2007/relationships/hdphoto" Target="media/hdphoto9.wdp"/><Relationship Id="rId35" Type="http://schemas.microsoft.com/office/2007/relationships/hdphoto" Target="media/hdphoto11.wdp"/><Relationship Id="rId8" Type="http://schemas.openxmlformats.org/officeDocument/2006/relationships/image" Target="media/image1.jpeg"/><Relationship Id="rId3" Type="http://schemas.openxmlformats.org/officeDocument/2006/relationships/styles" Target="styles.xml"/><Relationship Id="rId12" Type="http://schemas.microsoft.com/office/2007/relationships/hdphoto" Target="media/hdphoto2.wdp"/><Relationship Id="rId17" Type="http://schemas.microsoft.com/office/2007/relationships/hdphoto" Target="media/hdphoto4.wdp"/><Relationship Id="rId25" Type="http://schemas.microsoft.com/office/2007/relationships/hdphoto" Target="media/hdphoto7.wdp"/><Relationship Id="rId33" Type="http://schemas.microsoft.com/office/2007/relationships/hdphoto" Target="media/hdphoto10.wdp"/><Relationship Id="rId38"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4CD91-87C4-47F9-A47A-624D2AED0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9</Pages>
  <Words>2746</Words>
  <Characters>15103</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Oldak Finkler</dc:creator>
  <cp:keywords/>
  <dc:description/>
  <cp:lastModifiedBy>Jose Alfredo Uscanga Reynell</cp:lastModifiedBy>
  <cp:revision>23</cp:revision>
  <dcterms:created xsi:type="dcterms:W3CDTF">2021-01-14T21:23:00Z</dcterms:created>
  <dcterms:modified xsi:type="dcterms:W3CDTF">2021-01-28T21:00:00Z</dcterms:modified>
</cp:coreProperties>
</file>